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</w:t>
      </w:r>
      <w:r>
        <w:rPr>
          <w:rFonts w:eastAsia="Calibri" w:cs="Times New Roman" w:ascii="Times New Roman" w:hAnsi="Times New Roman"/>
          <w:color w:val="auto"/>
          <w:kern w:val="0"/>
          <w:sz w:val="24"/>
          <w:szCs w:val="24"/>
          <w:lang w:val="ru-RU" w:eastAsia="en-US" w:bidi="ar-SA"/>
        </w:rPr>
        <w:t>1</w:t>
      </w:r>
      <w:r>
        <w:rPr>
          <w:rFonts w:cs="Times New Roman" w:ascii="Times New Roman" w:hAnsi="Times New Roman"/>
          <w:sz w:val="24"/>
          <w:szCs w:val="24"/>
        </w:rPr>
        <w:t xml:space="preserve"> к договору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№</w:t>
      </w:r>
      <w:r>
        <w:rPr>
          <w:rFonts w:cs="Times New Roman" w:ascii="Times New Roman" w:hAnsi="Times New Roman"/>
          <w:sz w:val="24"/>
          <w:szCs w:val="24"/>
        </w:rPr>
        <w:t>__________________________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 «___»______________20___г.</w:t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ТЕХНИЧЕСКОЕ ЗАДАНИЕ</w:t>
      </w:r>
    </w:p>
    <w:p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выполнение комплекса работ по разработке проектно-сметной документации, работ по</w:t>
      </w:r>
      <w:r>
        <w:rPr>
          <w:rFonts w:cs="Times New Roman" w:ascii="Times New Roman" w:hAnsi="Times New Roman"/>
          <w:color w:val="C9211E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строительству и пусконаладочным работам по объекту</w:t>
      </w:r>
      <w:r>
        <w:rPr>
          <w:rFonts w:eastAsia="Calibri" w:cs="Times New Roman" w:ascii="Times New Roman" w:hAnsi="Times New Roman"/>
          <w:color w:val="000000"/>
          <w:kern w:val="0"/>
          <w:sz w:val="24"/>
          <w:szCs w:val="24"/>
          <w:lang w:val="ru-RU" w:eastAsia="en-US" w:bidi="ar-SA"/>
        </w:rPr>
        <w:t xml:space="preserve"> строительства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p>
      <w:pPr>
        <w:pStyle w:val="NoSpacing"/>
        <w:jc w:val="center"/>
        <w:rPr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«Строительство КЛ-10 кВ от ПС 110/10 кВ «ИКЕА» фидера И-101, И-406 общей протяженностью ориентировочно  4,61 км, расположенной по адресу: Республика Адыгея, Тахтамукайский район, аул Новая Адыгея, ул. Бжедугская, (идентификатор инвестиционного проекта P_79_1122309002750_01)»</w:t>
      </w:r>
    </w:p>
    <w:p>
      <w:pPr>
        <w:pStyle w:val="ListParagraph"/>
        <w:widowControl/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ListParagraph"/>
        <w:widowControl/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Строительство 2КЛ-10кВ марки АПвПу2г-10 6х(1х400/70) мм</w:t>
      </w:r>
      <w:r>
        <w:rPr>
          <w:rFonts w:eastAsia="Times New Roman" w:cs="Times New Roman"/>
          <w:color w:val="auto"/>
          <w:kern w:val="0"/>
          <w:sz w:val="28"/>
          <w:szCs w:val="28"/>
          <w:vertAlign w:val="superscript"/>
          <w:lang w:val="ru-RU" w:eastAsia="ru-RU" w:bidi="ar-SA"/>
        </w:rPr>
        <w:t>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методом ГНБ от ПС «ИКЕА» до опоры №1А фидера И-101 и опоры №1 фидер  И-406 длиной по 375 м каждая. Ориентировочная длина новых 2КЛ-10кВ составит 750 м;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Демонтаж двух цепной ВЛИ-10 кВ участок опор №1-1А до опоры №1-36 фидер И-101 и участок опор №1-1 до опоры №1-37 фидер И-406  в сторону ТП-897п, протяженностью по 900 м каждая (провод СИП 1х95 мм</w:t>
      </w:r>
      <w:r>
        <w:rPr>
          <w:rFonts w:eastAsia="Times New Roman" w:cs="Times New Roman"/>
          <w:color w:val="auto"/>
          <w:kern w:val="0"/>
          <w:sz w:val="28"/>
          <w:szCs w:val="28"/>
          <w:vertAlign w:val="superscript"/>
          <w:lang w:val="ru-RU" w:eastAsia="ru-RU" w:bidi="ar-SA"/>
        </w:rPr>
        <w:t>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6 проводов по 900 м L=5400 м);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Демонтаж существующего участка опор №1-2 до опоры №1-11 в количестве 10шт;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Демонтаж траверс на существующих опорах совместного подвеса ВЛ-10 кВ от опоры №1-12 до опоры №1-36 фидер И-101  и опоры №1-37 фидер И-406 количестве 26 шт;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Строительство 2КЛ-10кВ марки АСБл-10 3х240 мм</w:t>
      </w:r>
      <w:r>
        <w:rPr>
          <w:rFonts w:eastAsia="Times New Roman" w:cs="Times New Roman"/>
          <w:color w:val="auto"/>
          <w:kern w:val="0"/>
          <w:sz w:val="28"/>
          <w:szCs w:val="28"/>
          <w:vertAlign w:val="superscript"/>
          <w:lang w:val="ru-RU" w:eastAsia="ru-RU" w:bidi="ar-SA"/>
        </w:rPr>
        <w:t>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участок опор №1-1А до опоры №1-36 фидер И-101 и участок опор №1-1 до опоры №1-37 фидер И-406  в сторону ТП-897п. Ориентировочная протяженность новых КЛ-10 кВ составит по 900 м каждая;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Демонтаж двух цепной ВЛИ-10 кВ участок опор №1А до опоры №43 фидер И-101 и участок опор №1 до опоры №44 фидер И-406  в сторону ТП-883п, протяженностью по 930 м каждая (провод СИП 1х95 мм</w:t>
      </w:r>
      <w:r>
        <w:rPr>
          <w:rFonts w:eastAsia="Times New Roman" w:cs="Times New Roman"/>
          <w:color w:val="auto"/>
          <w:kern w:val="0"/>
          <w:sz w:val="28"/>
          <w:szCs w:val="28"/>
          <w:vertAlign w:val="superscript"/>
          <w:lang w:val="ru-RU" w:eastAsia="ru-RU" w:bidi="ar-SA"/>
        </w:rPr>
        <w:t>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6 проводов по 930 м L=5580 м);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Демонтаж существующего участка опор ВЛ-10 кВ совместного подвеса с траверсами от опоры №2 до опоры №42;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Демонтаж существующей опоры ВЛИ-10 кВ с траверсой №43 фидер И-101;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Демонтаж существующей опоры ВЛИ-10 кВ с траверсой №44 фидер И-406;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Строительство 2КЛ-10кВ марки АСБл-10 3х240 мм</w:t>
      </w:r>
      <w:r>
        <w:rPr>
          <w:rFonts w:eastAsia="Times New Roman" w:cs="Times New Roman"/>
          <w:color w:val="auto"/>
          <w:kern w:val="0"/>
          <w:sz w:val="28"/>
          <w:szCs w:val="28"/>
          <w:vertAlign w:val="superscript"/>
          <w:lang w:val="ru-RU" w:eastAsia="ru-RU" w:bidi="ar-SA"/>
        </w:rPr>
        <w:t>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участок опор №1А фидер И-101 и опоры №1 фидер И-406 до соединительных муфт (в районе демонтированных опор  №27А фидер И-101 и опоры №27 фидер И-406). Ориентировочная протяженность новых КЛ-10 кВ составит по 620 м каждая;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Строительство 2КЛ-10кВ марки АСБл-10 3х240 мм</w:t>
      </w:r>
      <w:r>
        <w:rPr>
          <w:rFonts w:eastAsia="Times New Roman" w:cs="Times New Roman"/>
          <w:color w:val="auto"/>
          <w:kern w:val="0"/>
          <w:sz w:val="28"/>
          <w:szCs w:val="28"/>
          <w:vertAlign w:val="superscript"/>
          <w:lang w:val="ru-RU" w:eastAsia="ru-RU" w:bidi="ar-SA"/>
        </w:rPr>
        <w:t>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методом ГНБ от 2БКТП-880п РУ-10кВ IСШ до 2БКТП-487п РУ-10кВ IСШ фидер И-101 и 2БКТП-880п РУ-10кВ IIСШ до 2БКТП-487п РУ-10кВ IIСШ фидер И-406. Ориентировочная протяженность новых КЛ-10 кВ составит по 100 м каждая;</w:t>
      </w:r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567" w:leader="none"/>
        </w:tabs>
        <w:suppressAutoHyphens w:val="true"/>
        <w:overflowPunct w:val="true"/>
        <w:bidi w:val="0"/>
        <w:spacing w:lineRule="auto" w:line="240" w:before="0" w:after="0"/>
        <w:ind w:hanging="360" w:left="550" w:right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Строительство 2КЛ-10кВ марки АСБл-10 3х240 мм</w:t>
      </w:r>
      <w:r>
        <w:rPr>
          <w:rFonts w:eastAsia="Times New Roman" w:cs="Times New Roman"/>
          <w:color w:val="auto"/>
          <w:kern w:val="0"/>
          <w:sz w:val="28"/>
          <w:szCs w:val="28"/>
          <w:vertAlign w:val="superscript"/>
          <w:lang w:val="ru-RU" w:eastAsia="ru-RU" w:bidi="ar-SA"/>
        </w:rPr>
        <w:t>2</w:t>
      </w: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участок от соединительных муфт в районе демонтированной опоры  №32А фидер И-101 и опоры №33А фидер И-406 до соединительных муфт в районе демонтированной опоры №43 фидер И-101 и опоры №44 фидер И-406. Ориентировочная протяженность новых КЛ-10 кВ составит по 210 м каждая.</w:t>
      </w:r>
    </w:p>
    <w:tbl>
      <w:tblPr>
        <w:tblW w:w="102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554"/>
        <w:gridCol w:w="6538"/>
      </w:tblGrid>
      <w:tr>
        <w:trPr>
          <w:tblHeader w:val="true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пункта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Информация</w:t>
            </w:r>
          </w:p>
        </w:tc>
      </w:tr>
      <w:tr>
        <w:trPr>
          <w:trHeight w:val="1538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285" w:after="285"/>
              <w:ind w:hanging="796" w:left="1080"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jc w:val="left"/>
              <w:rPr>
                <w:bCs/>
              </w:rPr>
            </w:pPr>
            <w:r>
              <w:rPr>
                <w:bCs/>
              </w:rPr>
              <w:t>Наименование объекта: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pacing w:before="0" w:after="0"/>
              <w:ind w:firstLine="425" w:left="33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«Строительство КЛ-10 кВ от ПС 110/10 кВ «ИКЕА» фидера И-101, И-406 общей протяженностью 4,61 км, расположенной по адресу: Республика Адыгея, Тахтамукайский район, аул Новая Адыгея, ул. Бжедугская» P_79_1122309002750_01.</w:t>
            </w:r>
          </w:p>
        </w:tc>
      </w:tr>
      <w:tr>
        <w:trPr>
          <w:trHeight w:val="2024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285" w:after="285"/>
              <w:ind w:hanging="796" w:left="1080"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jc w:val="left"/>
              <w:rPr>
                <w:bCs/>
              </w:rPr>
            </w:pPr>
            <w:r>
              <w:rPr>
                <w:bCs/>
              </w:rPr>
              <w:t>Основание для проведения комплекса работ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hanging="0" w:right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color w:val="000000"/>
                <w:sz w:val="24"/>
                <w:szCs w:val="24"/>
              </w:rPr>
              <w:t>Инвестиционного проекта «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Строительство КЛ-10 кВ от ПС 110/10 кВ «ИКЕА» фидера И-101, И-406 общей протяженностью 4,61 км, расположенной по адресу: Республика Адыгея, Тахтамукайский район, аул Новая Адыгея, ул. Бжедугская», (идентификатор инвестиционного проекта P_79_1122309002750_01)</w:t>
            </w:r>
          </w:p>
        </w:tc>
      </w:tr>
      <w:tr>
        <w:trPr>
          <w:trHeight w:val="586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285" w:after="285"/>
              <w:ind w:hanging="796" w:left="1080"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jc w:val="left"/>
              <w:rPr>
                <w:bCs/>
              </w:rPr>
            </w:pPr>
            <w:r>
              <w:rPr>
                <w:bCs/>
              </w:rPr>
              <w:t>Вид строительства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Строительство двух кабельных линий 10 кВ методом ГНБ: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ПС 110/10 кВ «ИКЕА» до опоры № 1А (фидер И-101) протяженностью ориентировочно 375 м, марка кабеля АПвПу2г-10 3х(1х400/70) мм2;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ПС 110/10 кВ «ИКЕА» до опоры № 1 (фидер И-406) протяженностью ориентировочно 375 м, марка кабеля АПвПу2г-10 3х(1х400/70) мм2.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Строительство двух кабельных линий 10 кВ прокладкой кабеля в траншее: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опоры № 1-36 до опоры № 43 (фидер И-101) протяженностью ориентировочно 1830 м, марка кабеля АСБл-10 3х240;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опоры № 1-37 до опоры № 44 (фидер И-406) протяженностью ориентировочно 1830 м, марка кабеля АСБл-10 3х240.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Демонтаж двух цепной ВЛ-10 кВ от опоры № 1-37 до опоры № 44 (фидер И-406, фидер И-101) протяженностью 1830 м, марка провода СИП 1х95 мм2. Объем работ: длина демонтируемого провода – 10 980 м, количество подлежащих демонтажу опор – 67 шт.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Строительство двух кабельных линий 10 кВ прокладкой кабеля в траншее: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РУ-10 кВ ТП-880п 1 с.ш. до РУ-10 кВ ТП-487 1 с.ш. протяженностью ориентировочно 100 м, марка кабеля АСБл-10 3х240;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РУ-10 кВ ТП-880п 2 с.ш. до РУ-10 кВ ТП-487 2 с.ш. протяженностью ориентировочно 100 м, марка кабеля АСБл-10 3х240.</w:t>
            </w:r>
          </w:p>
        </w:tc>
      </w:tr>
      <w:tr>
        <w:trPr>
          <w:trHeight w:val="586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jc w:val="left"/>
              <w:rPr>
                <w:bCs/>
              </w:rPr>
            </w:pPr>
            <w:r>
              <w:rPr>
                <w:bCs/>
              </w:rPr>
              <w:t>Источник строительства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color w:val="000000"/>
              </w:rPr>
            </w:pPr>
            <w:r>
              <w:rPr>
                <w:color w:val="000000"/>
              </w:rPr>
              <w:t>Инвестиционн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ый проект № 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P_79_1122309002750_01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>
          <w:trHeight w:val="527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>
                <w:bCs/>
              </w:rPr>
            </w:pPr>
            <w:r>
              <w:rPr>
                <w:bCs/>
              </w:rPr>
              <w:t>Место выполнения работ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firstLine="425" w:left="33" w:right="0"/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Республика Адыгея, Тахтамукайский район, аул Новая Адыгея, ул. Бжедугская.</w:t>
            </w:r>
          </w:p>
        </w:tc>
      </w:tr>
      <w:tr>
        <w:trPr>
          <w:trHeight w:val="2586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  <w:bookmarkStart w:id="0" w:name="Работы"/>
            <w:bookmarkStart w:id="1" w:name="Работы"/>
            <w:bookmarkEnd w:id="1"/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ind w:hanging="0" w:left="0" w:right="-389"/>
              <w:rPr>
                <w:bCs/>
              </w:rPr>
            </w:pPr>
            <w:r>
              <w:rPr>
                <w:bCs/>
              </w:rPr>
              <w:t>Перечень работ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458" w:left="0" w:right="0"/>
              <w:rPr/>
            </w:pPr>
            <w:r>
              <w:rPr/>
              <w:t xml:space="preserve">По строительству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КЛ-10 кВ от ПС 110/10 кВ «ИКЕА» фидера И-101, И-406 общей протяженностью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4"/>
                <w:szCs w:val="24"/>
                <w:lang w:eastAsia="ru-RU"/>
              </w:rPr>
              <w:t>ориентировочно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4,61 км, расположенной по адресу: Республика Адыгея, Тахтамукайский район, аул Новая Адыгея, ул. Бжедугская</w:t>
            </w:r>
            <w:r>
              <w:rPr/>
              <w:t xml:space="preserve"> выполнить: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firstLine="458" w:left="0" w:right="0"/>
              <w:jc w:val="both"/>
              <w:rPr/>
            </w:pPr>
            <w:r>
              <w:rPr/>
              <w:t>Проектно - сметную документацию в соответствии с требованиями нормативно – технической документации и действующим законодательством РФ, необходимым и действующим на момент разработки проектно-сметной документации и с учетом настоящего технического задания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firstLine="458" w:left="0" w:right="0"/>
              <w:jc w:val="both"/>
              <w:rPr/>
            </w:pPr>
            <w:r>
              <w:rPr/>
              <w:t xml:space="preserve">Строительство кабельных линий </w:t>
            </w:r>
            <w:r>
              <w:rPr>
                <w:i/>
                <w:iCs/>
                <w:u w:val="single"/>
              </w:rPr>
              <w:t xml:space="preserve">(все длины кабельных линий указаны ориентировочно, </w:t>
            </w:r>
            <w:r>
              <w:rPr>
                <w:i/>
                <w:iCs/>
                <w:color w:val="000000"/>
                <w:u w:val="single"/>
              </w:rPr>
              <w:t>в соответствии с предварительным эскизным проектом;</w:t>
            </w:r>
            <w:r>
              <w:rPr>
                <w:i/>
                <w:iCs/>
                <w:u w:val="single"/>
              </w:rPr>
              <w:t xml:space="preserve"> точная протяженность кабельных линий будет известна при разработке основного проекта согласно техническому заданию)</w:t>
            </w:r>
            <w:r>
              <w:rPr/>
              <w:t>: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hanging="0" w:left="720" w:right="0"/>
              <w:jc w:val="both"/>
              <w:rPr/>
            </w:pPr>
            <w:r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2.1)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Строительство двух кабельных линий 10 кВ методом ГНБ: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ПС 110/10 кВ «ИКЕА» до опоры № 1А (фидер И-101) протяженностью ориентировочно 375 м, марка кабеля АПвПу2г-10 3х(1х400/70) мм2;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ПС 110/10 кВ «ИКЕА» до опоры № 1 (фидер И-406) протяженностью ориентировочно 375 м, марка кабеля АПвПу2г-10 3х(1х400/70) мм2.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2.2) Строительство двух кабельных линий 10 кВ прокладкой кабеля в траншее: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опоры № 1-36 до опоры № 43 (фидер И-101) протяженностью ориентировочно 1830 м, марка кабеля АСБл-10 3х240;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опоры № 1-37 до опоры № 44 (фидер И-406) протяженностью ориентировочно 1830 м, марка кабеля АСБл-10 3х240.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2.3.) Демонтаж двух цепной ВЛ-10 кВ от опоры № 1-37 до опоры № 44 (фидер И-406, фидер И-101) протяженностью 1830 м, марка провода СИП 1х95 мм2. Объем работ: длина демонтируемого провода – 10 980 м, количество подлежащих демонтажу опор – 67 шт.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2.4) Строительство двух кабельных линий 10 кВ прокладкой кабеля в траншее:</w:t>
            </w:r>
          </w:p>
          <w:p>
            <w:pPr>
              <w:pStyle w:val="Normal"/>
              <w:widowControl w:val="false"/>
              <w:spacing w:before="0" w:after="0"/>
              <w:ind w:firstLine="425" w:left="33" w:right="0"/>
              <w:rPr>
                <w:b w:val="false"/>
                <w:bCs w:val="false"/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РУ-10 кВ ТП-880п 1 с.ш. до РУ-10 кВ ТП-487 1 с.ш. протяженностью ориентировочно 100 м, марка кабеля АСБл-10 3х240;</w:t>
            </w:r>
          </w:p>
          <w:p>
            <w:pPr>
              <w:pStyle w:val="ListParagraph"/>
              <w:widowControl w:val="false"/>
              <w:ind w:hanging="0" w:left="720" w:right="0"/>
              <w:jc w:val="both"/>
              <w:rPr>
                <w:color w:val="000000"/>
              </w:rPr>
            </w:pP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 xml:space="preserve">    • </w:t>
            </w:r>
            <w:r>
              <w:rPr>
                <w:rFonts w:cs="Times New Roman"/>
                <w:b w:val="false"/>
                <w:bCs w:val="false"/>
                <w:color w:val="000000"/>
                <w:sz w:val="24"/>
                <w:szCs w:val="24"/>
              </w:rPr>
              <w:t>КЛ-10 кВ от РУ-10 кВ ТП-880п 2 с.ш. до РУ-10 кВ ТП-487 2 с.ш. протяженностью ориентировочно 100 м, марка кабеля АСБл-10 3х240.</w:t>
            </w:r>
          </w:p>
          <w:p>
            <w:pPr>
              <w:pStyle w:val="ListParagraph"/>
              <w:widowControl w:val="false"/>
              <w:ind w:hanging="0" w:left="720" w:right="0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firstLine="458" w:left="0" w:right="0"/>
              <w:jc w:val="both"/>
              <w:rPr/>
            </w:pPr>
            <w:r>
              <w:rPr/>
              <w:t xml:space="preserve"> </w:t>
            </w:r>
            <w:r>
              <w:rPr/>
              <w:t xml:space="preserve">Пусконаладочные работы </w:t>
            </w:r>
            <w:r>
              <w:rPr>
                <w:color w:val="000000"/>
              </w:rPr>
              <w:t>«в холостую»</w:t>
            </w:r>
            <w:r>
              <w:rPr/>
              <w:t xml:space="preserve"> (приемо – сдаточные испытания в соответствии ПУЭ, СНиП, техническими регламентами, действующими на момент выполнения работ);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firstLine="458" w:left="0" w:right="0"/>
              <w:jc w:val="both"/>
              <w:rPr/>
            </w:pPr>
            <w:r>
              <w:rPr/>
              <w:t>Сдачу построенных объектов в эксплуатацию приемочным комиссиям с оформлением Акта приемки законченного строительство объекта приемочными комиссиями по форме КС-14;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firstLine="458" w:left="0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Контрольную исполнительную съемку по объектам технологического присоединения с регистраций в  уполномоченном органе исполнительной власти, в том числе с установлением охранной зоны.</w:t>
            </w:r>
          </w:p>
        </w:tc>
      </w:tr>
      <w:tr>
        <w:trPr>
          <w:trHeight w:val="1960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  <w:bookmarkStart w:id="2" w:name="_Ref166267282"/>
            <w:bookmarkStart w:id="3" w:name="Работы1"/>
            <w:bookmarkStart w:id="4" w:name="_Ref166267282"/>
            <w:bookmarkStart w:id="5" w:name="Работы1"/>
            <w:bookmarkEnd w:id="4"/>
            <w:bookmarkEnd w:id="5"/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Основные характеристики объекта строительства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ind w:firstLine="327" w:left="33" w:right="0"/>
              <w:rPr/>
            </w:pPr>
            <w:r>
              <w:rPr/>
              <w:t>Номинальное напряжение – 10кВ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firstLine="327" w:left="33" w:right="0"/>
              <w:rPr/>
            </w:pPr>
            <w:r>
              <w:rPr/>
              <w:t>Мощность присоединяемых энергопринимающих устройств</w:t>
            </w:r>
            <w:r>
              <w:rPr>
                <w:color w:val="000000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8350.4</w:t>
            </w:r>
            <w:r>
              <w:rPr>
                <w:color w:val="000000"/>
              </w:rPr>
              <w:t xml:space="preserve"> кВт;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firstLine="327" w:left="33" w:right="0"/>
              <w:rPr/>
            </w:pPr>
            <w:r>
              <w:rPr/>
              <w:t>категория надежности электроснабжения - II;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firstLine="327" w:left="33" w:right="0"/>
              <w:rPr>
                <w:color w:val="000000"/>
              </w:rPr>
            </w:pPr>
            <w:r>
              <w:rPr>
                <w:color w:val="000000"/>
              </w:rPr>
              <w:t>класс напряжения электрических сетей, к которым осуществляется технологическое присоединение 10 (кВ);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firstLine="327" w:left="33" w:right="0"/>
              <w:rPr>
                <w:color w:val="000000"/>
              </w:rPr>
            </w:pPr>
            <w:r>
              <w:rPr>
                <w:color w:val="000000"/>
              </w:rPr>
              <w:t xml:space="preserve">Протяженность КЛ-10 кВ (ориентировочная) в соответствии с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предварительным эскизным проектом (приложение №1 к техническому заданию).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firstLine="327" w:left="33" w:right="0"/>
              <w:rPr/>
            </w:pPr>
            <w:r>
              <w:rPr/>
              <w:t>Дополнительные данные предоставляются Подрядчику после заключения договора в соответствии с отдельным запросом Подрядчика.</w:t>
            </w:r>
          </w:p>
        </w:tc>
      </w:tr>
      <w:tr>
        <w:trPr>
          <w:trHeight w:val="699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>
                <w:bCs/>
              </w:rPr>
            </w:pPr>
            <w:r>
              <w:rPr>
                <w:bCs/>
              </w:rPr>
              <w:t>Требуемые сроки выполнения и окончания работ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hanging="0" w:left="0" w:right="0"/>
              <w:rPr/>
            </w:pPr>
            <w:r>
              <w:rPr/>
              <w:t xml:space="preserve">    </w:t>
            </w:r>
            <w:r>
              <w:rPr/>
              <w:t xml:space="preserve">Сроки выполнения Подрядчиком работ, установлены календарным планом выполнения комплекса работ по строительству электросетевых объектов «под ключ» (приложение №3 к 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Д</w:t>
            </w:r>
            <w:r>
              <w:rPr/>
              <w:t>оговору).</w:t>
            </w:r>
          </w:p>
          <w:p>
            <w:pPr>
              <w:pStyle w:val="Normal"/>
              <w:widowControl w:val="false"/>
              <w:spacing w:before="0" w:after="0"/>
              <w:ind w:firstLine="458" w:left="0" w:right="0"/>
              <w:rPr/>
            </w:pPr>
            <w:r>
              <w:rPr/>
              <w:t>Подрядчик приступает к выполнению обязательств с даты подписания настоящего Договора. Дата начала работ – дата заключения договора;</w:t>
            </w:r>
          </w:p>
          <w:p>
            <w:pPr>
              <w:pStyle w:val="Normal"/>
              <w:widowControl w:val="false"/>
              <w:spacing w:before="0" w:after="0"/>
              <w:ind w:firstLine="458" w:left="0" w:right="0"/>
              <w:rPr/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О</w:t>
            </w:r>
            <w:r>
              <w:rPr/>
              <w:t xml:space="preserve">кончание выполнения работы - не позднее </w:t>
            </w:r>
            <w:r>
              <w:rPr>
                <w:color w:val="000000"/>
                <w:shd w:fill="FFFFFF" w:val="clear"/>
              </w:rPr>
              <w:t>"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05</w:t>
            </w:r>
            <w:r>
              <w:rPr>
                <w:color w:val="000000"/>
                <w:shd w:fill="FFFFFF" w:val="clear"/>
              </w:rPr>
              <w:t>" декабря 202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6</w:t>
            </w:r>
            <w:r>
              <w:rPr>
                <w:color w:val="000000"/>
                <w:shd w:fill="FFFFFF" w:val="clear"/>
              </w:rPr>
              <w:t xml:space="preserve">  года."</w:t>
            </w:r>
          </w:p>
          <w:p>
            <w:pPr>
              <w:pStyle w:val="Normal"/>
              <w:widowControl w:val="false"/>
              <w:spacing w:before="0" w:after="0"/>
              <w:ind w:firstLine="458" w:left="0" w:right="0"/>
              <w:rPr/>
            </w:pPr>
            <w:r>
              <w:rPr/>
              <w:t>Датой завершения работ Подрядчиком на объекте является дата подписания акта приемки законченного строительством объекта приемочной комиссии по форме КС-14.</w:t>
            </w:r>
          </w:p>
          <w:p>
            <w:pPr>
              <w:pStyle w:val="Normal"/>
              <w:widowControl w:val="false"/>
              <w:spacing w:before="0" w:after="0"/>
              <w:ind w:firstLine="458" w:left="0" w:right="0"/>
              <w:rPr/>
            </w:pPr>
            <w:r>
              <w:rPr/>
              <w:t xml:space="preserve">Срок разработки проектно-сметной документации должен составлять не более </w:t>
            </w:r>
            <w:r>
              <w:rPr>
                <w:color w:val="000000"/>
                <w:shd w:fill="FFFFFF" w:val="clear"/>
              </w:rPr>
              <w:t>4</w:t>
            </w:r>
            <w:r>
              <w:rPr>
                <w:color w:val="000000"/>
                <w:shd w:fill="FFFFFF" w:val="clear"/>
              </w:rPr>
              <w:t>5–ти дней</w:t>
            </w:r>
            <w:r>
              <w:rPr>
                <w:color w:val="000000"/>
                <w:shd w:fill="FFFFFF" w:val="clear"/>
              </w:rPr>
              <w:t xml:space="preserve"> </w:t>
            </w:r>
            <w:r>
              <w:rPr>
                <w:color w:val="000000"/>
                <w:shd w:fill="FFFFFF" w:val="clear"/>
              </w:rPr>
              <w:t>с</w:t>
            </w:r>
            <w:r>
              <w:rPr/>
              <w:t xml:space="preserve"> момента заключения договора.</w:t>
            </w:r>
          </w:p>
          <w:p>
            <w:pPr>
              <w:pStyle w:val="Normal"/>
              <w:widowControl w:val="false"/>
              <w:spacing w:before="0" w:after="0"/>
              <w:ind w:firstLine="458" w:left="0" w:right="0"/>
              <w:rPr/>
            </w:pPr>
            <w:r>
              <w:rPr/>
              <w:t xml:space="preserve">Сроки выполнения работ по объекту Договора включают сроки проведения </w:t>
            </w:r>
            <w:r>
              <w:rPr>
                <w:color w:val="000000"/>
              </w:rPr>
              <w:t>внутриведомственной  экспертизы.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  <w:bookmarkStart w:id="6" w:name="_Ref166267457"/>
            <w:bookmarkStart w:id="7" w:name="_Ref354440659"/>
            <w:bookmarkStart w:id="8" w:name="_Ref166267457"/>
            <w:bookmarkStart w:id="9" w:name="_Ref354440659"/>
            <w:bookmarkEnd w:id="8"/>
            <w:bookmarkEnd w:id="9"/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Условия авансирования работ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hanging="0" w:left="0" w:right="0"/>
              <w:rPr>
                <w:color w:val="000000"/>
              </w:rPr>
            </w:pPr>
            <w:r>
              <w:rPr>
                <w:color w:val="000000"/>
              </w:rPr>
              <w:t>Авансирование осуществляется в соответствии с п. 7.16 Договора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  <w:bookmarkStart w:id="10" w:name="_Ref166267727"/>
            <w:bookmarkStart w:id="11" w:name="_Ref354428953"/>
            <w:bookmarkStart w:id="12" w:name="_Ref166267727"/>
            <w:bookmarkStart w:id="13" w:name="_Ref354428953"/>
            <w:bookmarkEnd w:id="12"/>
            <w:bookmarkEnd w:id="13"/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Условия обеспечения объекта материалами и оборудованием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eastAsia="Calibri"/>
              </w:rPr>
            </w:pPr>
            <w:r>
              <w:rPr>
                <w:rFonts w:eastAsia="Calibri"/>
              </w:rPr>
              <w:t>Подрядчик принимает на себя обязательства по поставке всех материалов для выполнения полного комплекса работ (СМР, ПНР) согласно утвержденной проектно - сметной документации и настоящего технического задания, в том числе прямо не упомянутых в ПСД.</w:t>
            </w:r>
          </w:p>
        </w:tc>
      </w:tr>
      <w:tr>
        <w:trPr>
          <w:trHeight w:val="2054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Требования к привлечению субподрядных организаций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Обязательное согласование (письменное) с Заказчиком всех привлекаемых субподрядчиков с предоставлением необходимых документов и согласованием основных условий договора субподряда: предмет договора, допуск к работам, полные юридические и фактические адреса субподрядчиков; сроки выполнения работ, иные условия (по требованию Заказчика).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Согласование проектно – сметной  документации.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firstLine="424" w:left="34" w:right="0"/>
              <w:jc w:val="both"/>
              <w:rPr/>
            </w:pPr>
            <w:r>
              <w:rPr/>
              <w:t xml:space="preserve">Подрядчик проводит обязательное согласование проектно – сметной документации с Заказчиком путем прохождения </w:t>
            </w:r>
            <w:r>
              <w:rPr>
                <w:color w:val="000000"/>
              </w:rPr>
              <w:t xml:space="preserve">внутриведомственной </w:t>
            </w:r>
            <w:r>
              <w:rPr/>
              <w:t xml:space="preserve">экспертизы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ООО «ЭНСИ»</w:t>
            </w:r>
            <w:r>
              <w:rPr/>
              <w:t>, а также согласование проектно - сметной документации со всеми заинтересованными органами и организациями, согласование с которыми предусмотрено законодательством РФ. Стоимость работ по согласованию и самих согласований включена в стоимость закупки.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Требования к составу и оформление проектно – сметной документации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numPr>
                <w:ilvl w:val="0"/>
                <w:numId w:val="4"/>
              </w:numPr>
              <w:ind w:firstLine="425" w:left="33" w:right="0"/>
              <w:jc w:val="both"/>
              <w:rPr/>
            </w:pPr>
            <w:r>
              <w:rPr/>
              <w:t>Оформить проектно - сметную документацию в соответствии с требованиями технических регламентов, которые должны соответствовать действующему законодательству РФ, в том числе следующим нормативно-техническим документам:</w:t>
            </w:r>
          </w:p>
          <w:p>
            <w:pPr>
              <w:pStyle w:val="Default"/>
              <w:widowControl w:val="false"/>
              <w:numPr>
                <w:ilvl w:val="0"/>
                <w:numId w:val="9"/>
              </w:numPr>
              <w:ind w:firstLine="425" w:left="33" w:right="0"/>
              <w:jc w:val="both"/>
              <w:rPr/>
            </w:pPr>
            <w:r>
              <w:rPr/>
              <w:t>ПУЭ (7-оу издание), утвержденное приказом Минэнерго России (действующая редакция);</w:t>
            </w:r>
          </w:p>
          <w:p>
            <w:pPr>
              <w:pStyle w:val="Default"/>
              <w:widowControl w:val="false"/>
              <w:numPr>
                <w:ilvl w:val="0"/>
                <w:numId w:val="9"/>
              </w:numPr>
              <w:ind w:firstLine="425" w:left="33" w:right="0"/>
              <w:jc w:val="both"/>
              <w:rPr/>
            </w:pPr>
            <w:r>
              <w:rPr/>
              <w:t>ПУЭ (6-е издание), утвержденным Минэнерго СССР (действующая редакция);</w:t>
            </w:r>
          </w:p>
          <w:p>
            <w:pPr>
              <w:pStyle w:val="Default"/>
              <w:widowControl w:val="false"/>
              <w:numPr>
                <w:ilvl w:val="0"/>
                <w:numId w:val="9"/>
              </w:numPr>
              <w:ind w:firstLine="425" w:left="33" w:right="0"/>
              <w:jc w:val="both"/>
              <w:rPr/>
            </w:pPr>
            <w:r>
              <w:rPr/>
              <w:t>Правила технической эксплуатации электрических станций и сетей Российской Федерации, утвержденным приказом Минэнерго РФ от 19.06.2003 №229 (действующая редакция);</w:t>
            </w:r>
          </w:p>
          <w:p>
            <w:pPr>
              <w:pStyle w:val="Default"/>
              <w:widowControl w:val="false"/>
              <w:numPr>
                <w:ilvl w:val="0"/>
                <w:numId w:val="9"/>
              </w:numPr>
              <w:ind w:firstLine="425" w:left="33" w:right="0"/>
              <w:jc w:val="both"/>
              <w:rPr/>
            </w:pPr>
            <w:r>
              <w:rPr/>
              <w:t>СП 42.13330.2016 «Градостроительство. Планировка и застройка городских и сельских поселений», утвержденному приказом Министерства строительства РФ от 30.12.2016г. №1034/пр (действующая редакция);</w:t>
            </w:r>
          </w:p>
          <w:p>
            <w:pPr>
              <w:pStyle w:val="Default"/>
              <w:widowControl w:val="false"/>
              <w:numPr>
                <w:ilvl w:val="0"/>
                <w:numId w:val="9"/>
              </w:numPr>
              <w:ind w:firstLine="425" w:left="33" w:right="0"/>
              <w:jc w:val="both"/>
              <w:rPr/>
            </w:pPr>
            <w:r>
              <w:rPr/>
              <w:t>ГОСТ Р 21.1101-2013 «Система проектной документации для строительства. Основные требования к проектной и рабочей документации», утвержденный приказом Федерального агентства по техническому регулированию и метрологии от 11.06.2013г. №156-ст (действующая редакция);</w:t>
            </w:r>
          </w:p>
          <w:p>
            <w:pPr>
              <w:pStyle w:val="Default"/>
              <w:widowControl w:val="false"/>
              <w:numPr>
                <w:ilvl w:val="0"/>
                <w:numId w:val="9"/>
              </w:numPr>
              <w:ind w:firstLine="425" w:left="33" w:right="0"/>
              <w:jc w:val="both"/>
              <w:rPr/>
            </w:pPr>
            <w:r>
              <w:rPr/>
              <w:t>Градостроительный кодекс Российской Федерации от 29.12.2004г. №190-ФЗ (с изменениями и дополнениями) (действующая редакция);</w:t>
            </w:r>
          </w:p>
          <w:p>
            <w:pPr>
              <w:pStyle w:val="Default"/>
              <w:widowControl w:val="false"/>
              <w:numPr>
                <w:ilvl w:val="0"/>
                <w:numId w:val="9"/>
              </w:numPr>
              <w:ind w:firstLine="425" w:left="33" w:right="0"/>
              <w:jc w:val="both"/>
              <w:rPr/>
            </w:pPr>
            <w:r>
              <w:rPr/>
              <w:t>Земельный кодекс Российской Федерации от 25.10.2001г. №136-ФЗ (ЗК-РФ) (с изменениями и дополнениями) (действующая редакция);</w:t>
            </w:r>
          </w:p>
          <w:p>
            <w:pPr>
              <w:pStyle w:val="Default"/>
              <w:widowControl w:val="false"/>
              <w:numPr>
                <w:ilvl w:val="0"/>
                <w:numId w:val="9"/>
              </w:numPr>
              <w:ind w:firstLine="425" w:left="33" w:right="0"/>
              <w:jc w:val="both"/>
              <w:rPr/>
            </w:pPr>
            <w:r>
              <w:rPr/>
              <w:t xml:space="preserve"> </w:t>
            </w:r>
            <w:r>
              <w:rPr/>
              <w:t>СНиП, СП, СанПин и иными нормативными документами;</w:t>
            </w:r>
          </w:p>
          <w:p>
            <w:pPr>
              <w:pStyle w:val="Default"/>
              <w:widowControl w:val="false"/>
              <w:numPr>
                <w:ilvl w:val="0"/>
                <w:numId w:val="4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  <w:shd w:fill="auto" w:val="clear"/>
              </w:rPr>
              <w:t>При необходимости выполнить комплекс инженерно – геодезических изысканий в соответствии с требованиями СНиП11-02-96, которые выполнить в местной системе координат, в Балтийской системе высот.</w:t>
            </w:r>
          </w:p>
          <w:p>
            <w:pPr>
              <w:pStyle w:val="Default"/>
              <w:widowControl w:val="false"/>
              <w:numPr>
                <w:ilvl w:val="0"/>
                <w:numId w:val="4"/>
              </w:numPr>
              <w:ind w:firstLine="425" w:left="33" w:right="0"/>
              <w:jc w:val="both"/>
              <w:rPr/>
            </w:pPr>
            <w:r>
              <w:rPr/>
              <w:t>В составе рабочей документации обосновать и выполнить:</w:t>
            </w:r>
          </w:p>
          <w:p>
            <w:pPr>
              <w:pStyle w:val="Default"/>
              <w:widowControl w:val="false"/>
              <w:numPr>
                <w:ilvl w:val="0"/>
                <w:numId w:val="10"/>
              </w:numPr>
              <w:ind w:firstLine="425" w:left="33" w:right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Разработать проект на строительство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 xml:space="preserve">  </w:t>
            </w:r>
            <w:r>
              <w:rPr>
                <w:shd w:fill="auto" w:val="clear"/>
              </w:rPr>
              <w:t xml:space="preserve">2.1)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двух кабельных линий 10 кВ методом ГНБ: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   •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КЛ-10 кВ от ПС 110/10 кВ «ИКЕА» до опоры № 1А (фидер И-101) протяженностью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ориентировочно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375 м, марка кабеля АПвПу2г-10 3х(1х400/70)м2; м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   •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КЛ-10 кВ от ПС 110/10 кВ «ИКЕА» до опоры № 1 (фидер И-406) протяженностью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ориентировочно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375 м, марка кабеля АПвПу2г-10 3х(1х400/70) мм2.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2.2) Строительство двух кабельных линий 10 кВ прокладкой кабеля в траншее: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   •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КЛ-10 кВ от опоры № 1-36 до опоры № 43 (фидер И-101) протяженностью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ориентировочно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1830 м, марка кабеля АСБл-10 3х240;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   •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КЛ-10 кВ от опоры № 1-37 до опоры № 44 (фидер И-406) протяженностью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ориентировочно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1830 м, марка кабеля АСБл-10 3х240.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2.3.) Демонтаж двух цепной ВЛ-10 кВ от опоры № 1-37 до опоры № 44 (фидер И-406, фидер И-101) протяженностью 1830 м, марка провода СИП 1х95 мм2. Объем работ: длина демонтируемого провода – 10 980 м, количество подлежащих демонтажу опор – 67 шт.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2.4) Строительство двух кабельных линий 10 кВ прокладкой кабеля в траншее: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   •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КЛ-10 кВ от РУ-10 кВ ТП-880п 1 с.ш. до РУ-10 кВ ТП-487 1 с.ш. протяженностью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ориентировочно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100 м, марка кабеля АСБл-10 3х240;</w:t>
            </w:r>
          </w:p>
          <w:p>
            <w:pPr>
              <w:pStyle w:val="Default"/>
              <w:widowControl w:val="false"/>
              <w:numPr>
                <w:ilvl w:val="0"/>
                <w:numId w:val="0"/>
              </w:numPr>
              <w:ind w:hanging="0" w:left="753" w:right="0"/>
              <w:jc w:val="both"/>
              <w:rPr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   •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КЛ-10 кВ от РУ-10 кВ ТП-880п 2 с.ш. до РУ-10 кВ ТП-487 2 с.ш. протяженностью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ориентировочно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100 м, марка кабеля АСБл-10 3х240.</w:t>
            </w:r>
          </w:p>
          <w:p>
            <w:pPr>
              <w:pStyle w:val="Default"/>
              <w:widowControl w:val="false"/>
              <w:ind w:firstLine="425" w:left="33" w:right="0"/>
              <w:jc w:val="both"/>
              <w:rPr/>
            </w:pPr>
            <w:r>
              <w:rPr/>
              <w:t>При проектировании КЛ определить, выполнить и согласовать с Заказчиком:</w:t>
            </w:r>
          </w:p>
          <w:p>
            <w:pPr>
              <w:pStyle w:val="Default"/>
              <w:widowControl w:val="false"/>
              <w:numPr>
                <w:ilvl w:val="0"/>
                <w:numId w:val="10"/>
              </w:numPr>
              <w:ind w:firstLine="425" w:left="33" w:right="0"/>
              <w:jc w:val="both"/>
              <w:rPr/>
            </w:pPr>
            <w:r>
              <w:rPr/>
              <w:t>Расчет и выбор сечения жил кабеля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пропускной способности проектируемой КЛ-10кВ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Вариант прохождения трассы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Схему вводов и подключения КЛ-10 кВ</w:t>
            </w:r>
          </w:p>
          <w:p>
            <w:pPr>
              <w:pStyle w:val="Default"/>
              <w:widowControl w:val="false"/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При проектировании КЛ принять и согласовать с Заказчиком: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Тип кабеля 10кВ с изоляцией из с</w:t>
            </w:r>
            <w:r>
              <w:rPr>
                <w:color w:val="000000"/>
                <w:shd w:fill="auto" w:val="clear"/>
              </w:rPr>
              <w:t>шитого полиэтилена</w:t>
            </w:r>
            <w:r>
              <w:rPr>
                <w:color w:val="000000"/>
                <w:shd w:fill="FFFF00" w:val="clear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АПвПу2г-10 3х(1х400/70)м2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тип кабеля 10 кВ АСБЛ 3х240мм2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Тип муфт и заделок – термоусаживаемые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Все проектные решения в области строительства КЛ-10кВ должны соответствовать действующим нормативным документам</w:t>
            </w:r>
          </w:p>
          <w:p>
            <w:pPr>
              <w:pStyle w:val="Default"/>
              <w:widowControl w:val="false"/>
              <w:numPr>
                <w:ilvl w:val="0"/>
                <w:numId w:val="10"/>
              </w:numPr>
              <w:ind w:firstLine="425" w:left="33" w:right="0"/>
              <w:jc w:val="both"/>
              <w:rPr/>
            </w:pPr>
            <w:r>
              <w:rPr/>
              <w:t xml:space="preserve">На 1 этапе «Определение и согласование с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ООО «ЭНСИ»</w:t>
            </w:r>
            <w:r>
              <w:rPr/>
              <w:t xml:space="preserve"> основных технических решений по сооружаемому объекту» выполнить: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Разработать принципиальное направление трассы КЛ-10 кВ однолинейную схему электроснабжения проектируемого объекта, определить технические параметры принимаемых при проектировании основных материалов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Представить данные материалы на согласование в ООО «ЭНСИ»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Согласовать принципиальное направление трассы КЛ-10 кВ с уполномоченной организацией органом исполнительной власти.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Материалы должны быть выполнены в объеме, достаточном для их использования в качестве исходных данных на 2 этапе проектирования.</w:t>
            </w:r>
          </w:p>
          <w:p>
            <w:pPr>
              <w:pStyle w:val="Default"/>
              <w:widowControl w:val="false"/>
              <w:numPr>
                <w:ilvl w:val="0"/>
                <w:numId w:val="10"/>
              </w:numPr>
              <w:ind w:firstLine="425" w:left="33" w:right="0"/>
              <w:jc w:val="both"/>
              <w:rPr/>
            </w:pPr>
            <w:r>
              <w:rPr/>
              <w:t>На 2 этапе проектирования «Разработка и согласование рабочей документации. Проведение внутриведомственной экспертизой ООО «ЭНСИ» рабочей документации», в соответствии с согласованными на 1 этапе техническими решениями, обосновать и выполнить: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Получить разрешение на размещение объекта строительства на землях или земельных участках, в т. ч. и находящихся в государственной или муниципальной собственности, при необходимости.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Получить технические требования и условия, подлежащие обязательному исполнению при производстве земляных работ в границах полосы отвода автомобильных дорог от уполномоченной организации и/или органа исполнительной власти. Учесть требования данных технических условий при разработке проекта(при необходимости).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Согласовать принципиальное направление трассы КЛ-10кВ</w:t>
            </w:r>
            <w:r>
              <w:rPr>
                <w:color w:val="C9211E"/>
              </w:rPr>
              <w:t xml:space="preserve"> </w:t>
            </w:r>
            <w:r>
              <w:rPr>
                <w:color w:val="000000"/>
              </w:rPr>
              <w:t>со всеми организациями и физическими лицами, интересы которых затрагиваются при реализации проекта, в том числе с организациями с организациями-владельцами инженерных сетей и коммуникаций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разработку трассы КЛ-10 кВ</w:t>
            </w:r>
            <w:r>
              <w:rPr>
                <w:color w:val="C9211E"/>
              </w:rPr>
              <w:t xml:space="preserve"> </w:t>
            </w:r>
            <w:r>
              <w:rPr>
                <w:color w:val="000000"/>
              </w:rPr>
              <w:t>с составлением отчета. Нанести существующие подземные коммуникации и места пересечения с проектируемой КЛ-10кВ показать профили пересечений с инженерными коммуникациями. Выдать план трассы проектируемой КЛ-10 кВ в М1:500. Зарегистрировать план трассы проектируемой КЛ-10 кВ в уполномоченной организации, органе исполнительной власти (при необходимости).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Выдать продольный профиль трассы КЛ-10 кВ</w:t>
            </w:r>
            <w:r>
              <w:rPr>
                <w:color w:val="C9211E"/>
              </w:rPr>
              <w:t xml:space="preserve"> </w:t>
            </w:r>
            <w:r>
              <w:rPr>
                <w:color w:val="000000"/>
              </w:rPr>
              <w:t>а также сводную ведомость изделий и материалов КЛ-10кВ.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Релейная защита и автоматика должна включать: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токов короткого замыкания;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Расчетное обоснование оборудования и устройств защиты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оборудования на допустимую токовую нагрузку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 существующей и проектируемой защиты на селективность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Объем пусконаладочных работ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Технические решения по вводу КЛ- 10 кВ в существующую ПС 110/10кВ</w:t>
            </w:r>
            <w:r>
              <w:rPr>
                <w:color w:val="000000"/>
                <w:shd w:fill="FFFFFF" w:val="clear"/>
                <w:lang w:val="en-US"/>
              </w:rPr>
              <w:t xml:space="preserve"> “IKEA” </w:t>
            </w:r>
            <w:r>
              <w:rPr>
                <w:color w:val="000000"/>
                <w:shd w:fill="FFFFFF" w:val="clear"/>
              </w:rPr>
              <w:t>согласовать с ООО "ЭНСИ"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В составе рабочей документации предоставить: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/>
            </w:pPr>
            <w:r>
              <w:rPr/>
              <w:t>Пояснительную записку;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/>
            </w:pPr>
            <w:r>
              <w:rPr/>
              <w:t xml:space="preserve">Технологические и конструктивные решения линейного объекта.  Рабочие чертежи, предназначенные для производства строительных и монтажных работ (схемы принципиальные, схемы подключения, прокладки электрических сетей, </w:t>
            </w:r>
            <w:r>
              <w:rPr>
                <w:color w:val="000000"/>
                <w:shd w:fill="auto" w:val="clear"/>
              </w:rPr>
              <w:t>кабельный (кабельнотрубный) журнал, ведомость заполнения труб  кабелями,</w:t>
            </w:r>
            <w:r>
              <w:rPr/>
              <w:t xml:space="preserve"> разработанные для проектируемого объекта чертежи конструкций и деталей, изготавливаемых в монтажной зоне и т.п.). В случае использования нестандартных (нетиповых) изделий и строительных конструкций на эти изделия должны быть разработаны чертежи и рабочая документация;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/>
            </w:pPr>
            <w:r>
              <w:rPr/>
              <w:t>Ведомости объемов строительных и монтажных работ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/>
            </w:pPr>
            <w:r>
              <w:rPr/>
              <w:t>Спецификации оборудования, изделий и материалов;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/>
            </w:pPr>
            <w:r>
              <w:rPr/>
              <w:t>Электротехнические реше</w:t>
            </w:r>
            <w:r>
              <w:rPr>
                <w:color w:val="000000"/>
              </w:rPr>
              <w:t>ния, карта уставок РЗА;</w:t>
            </w:r>
          </w:p>
          <w:p>
            <w:pPr>
              <w:pStyle w:val="Default"/>
              <w:widowControl w:val="false"/>
              <w:numPr>
                <w:ilvl w:val="0"/>
                <w:numId w:val="12"/>
              </w:numPr>
              <w:ind w:firstLine="425" w:left="33" w:right="0"/>
              <w:jc w:val="both"/>
              <w:rPr/>
            </w:pPr>
            <w:r>
              <w:rPr/>
              <w:t>Сметную документацию</w:t>
            </w:r>
          </w:p>
          <w:p>
            <w:pPr>
              <w:pStyle w:val="Default"/>
              <w:widowControl w:val="false"/>
              <w:numPr>
                <w:ilvl w:val="0"/>
                <w:numId w:val="10"/>
              </w:numPr>
              <w:ind w:firstLine="425" w:left="33" w:right="0"/>
              <w:jc w:val="both"/>
              <w:rPr/>
            </w:pPr>
            <w:r>
              <w:rPr/>
              <w:t>Особые условия проектирования: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Выполнить все необходимые согласования с надзорными органами, органами исполнительной власти, организациями и физическими лицами, интересы которых затрагиваются при выполнении и реализации рабочей документации;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Материалы в соответствии с техническим заданием на выполнение рабочей документации в полном объеме представить</w:t>
            </w:r>
            <w:r>
              <w:rPr>
                <w:color w:val="000000"/>
                <w:shd w:fill="FFFFFF" w:val="clear"/>
              </w:rPr>
              <w:t xml:space="preserve"> на внутриведомственную экспертизу </w:t>
            </w:r>
            <w:r>
              <w:rPr>
                <w:color w:val="000000"/>
              </w:rPr>
              <w:t>в ООО "ЭНСИ";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Корректировка рабочей документации в рамках технического задания, производится проектировщиком безвозмездно по результатам внутриведомственной экспертизы в течение 5-ти календарных дней в соответствии с ГОСТ Р 21.1101-2013 «Система проектной документации для строительства. Основные требования к проектной и рабочей документации»;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Получить положительное заключение внутриведомственной экспертизы ООО "ЭНСИ";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Разработанную рабочую документацию в полном объеме предоставить в ООО "ЭНСИ" в 4-х экземплярах на бумажном носителе (1 экземпляр – оригинал, 3 экземпляра – цветные копии (сканированные версии) документации), в 1 экземпляре в электронном виде на C</w:t>
            </w:r>
            <w:r>
              <w:rPr>
                <w:lang w:val="en-US"/>
              </w:rPr>
              <w:t>D</w:t>
            </w:r>
            <w:r>
              <w:rPr/>
              <w:t>/</w:t>
            </w:r>
            <w:r>
              <w:rPr>
                <w:lang w:val="en-US"/>
              </w:rPr>
              <w:t>DVD</w:t>
            </w:r>
            <w:r>
              <w:rPr/>
              <w:t xml:space="preserve"> диске, либо на U</w:t>
            </w:r>
            <w:r>
              <w:rPr>
                <w:lang w:val="en-US"/>
              </w:rPr>
              <w:t>SB</w:t>
            </w:r>
            <w:r>
              <w:rPr/>
              <w:t xml:space="preserve"> носителе информации (с интерфейсом не ниже U</w:t>
            </w:r>
            <w:r>
              <w:rPr>
                <w:lang w:val="en-US"/>
              </w:rPr>
              <w:t>SB</w:t>
            </w:r>
            <w:r>
              <w:rPr/>
              <w:t xml:space="preserve"> 2.0), при этом в электронном виде текстовую и графическую информации представить в полном объеме с подписями сотрудников организации разработавших, проверивших, согласовавших и утвердивших документацию в формате (*.</w:t>
            </w:r>
            <w:r>
              <w:rPr>
                <w:lang w:val="en-US"/>
              </w:rPr>
              <w:t>pdf</w:t>
            </w:r>
            <w:r>
              <w:rPr/>
              <w:t xml:space="preserve">) (каждый раздел документации сформировать отдельным томом), а также в редактируемом виде в стандартных форматах приложений </w:t>
            </w:r>
            <w:r>
              <w:rPr>
                <w:lang w:val="en-US"/>
              </w:rPr>
              <w:t>MS</w:t>
            </w:r>
            <w:r>
              <w:rPr/>
              <w:t xml:space="preserve"> </w:t>
            </w:r>
            <w:r>
              <w:rPr>
                <w:lang w:val="en-US"/>
              </w:rPr>
              <w:t>Office</w:t>
            </w:r>
            <w:r>
              <w:rPr/>
              <w:t>, в том числе и спецификацию на поставку оборудования и материалов и сметную документацию в формате (*.</w:t>
            </w:r>
            <w:r>
              <w:rPr>
                <w:lang w:val="en-US"/>
              </w:rPr>
              <w:t>xml</w:t>
            </w:r>
            <w:r>
              <w:rPr/>
              <w:t xml:space="preserve"> и *.</w:t>
            </w:r>
            <w:r>
              <w:rPr>
                <w:lang w:val="en-US"/>
              </w:rPr>
              <w:t>xls</w:t>
            </w:r>
            <w:r>
              <w:rPr/>
              <w:t>).</w:t>
            </w:r>
          </w:p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425" w:left="33" w:right="0"/>
              <w:jc w:val="both"/>
              <w:rPr/>
            </w:pPr>
            <w:r>
              <w:rPr/>
              <w:t>Разработанная рабочая документация является собственностью ООО "ЭНСИ". Передача данной рабочей документации третьим лицам без согласия ООО "ЭНСИ" запрещается.</w:t>
            </w:r>
          </w:p>
        </w:tc>
      </w:tr>
      <w:tr>
        <w:trPr>
          <w:trHeight w:val="5506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Требования к выполнению строительно – монтажных, электромонтажных и пусконаладочных работ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firstLine="458" w:left="0" w:right="0"/>
              <w:rPr/>
            </w:pPr>
            <w:r>
              <w:rPr/>
              <w:t>Строительно – монтажные и пусконаладочные работы должны быть выполнены в соответствии с: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360" w:left="720" w:right="0"/>
              <w:rPr/>
            </w:pPr>
            <w:r>
              <w:rPr/>
              <w:t>проектно - сметной документацией, утвержденной в установленном порядке;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360" w:left="720" w:right="0"/>
              <w:rPr/>
            </w:pPr>
            <w:r>
              <w:rPr/>
              <w:t>требованиями нормативных документов в строительстве (в том числе ПУЭ);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360" w:left="720" w:right="0"/>
              <w:rPr/>
            </w:pPr>
            <w:r>
              <w:rPr/>
              <w:t>условиями Договора подряда.</w:t>
            </w:r>
          </w:p>
          <w:p>
            <w:pPr>
              <w:pStyle w:val="Normal"/>
              <w:widowControl w:val="false"/>
              <w:spacing w:before="0" w:after="0"/>
              <w:rPr/>
            </w:pPr>
            <w:r>
              <w:rPr/>
              <w:t>Последовательность проведения работ: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360" w:left="720" w:right="0"/>
              <w:rPr/>
            </w:pPr>
            <w:r>
              <w:rPr/>
              <w:t>Подготовительные работы и поставка оборудования;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360" w:left="720" w:right="0"/>
              <w:rPr>
                <w:color w:val="000000"/>
              </w:rPr>
            </w:pPr>
            <w:r>
              <w:rPr>
                <w:color w:val="000000"/>
              </w:rPr>
              <w:t>Работы по выносу в натуру  и геодезическая разбивка сооружений;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360" w:left="720" w:right="0"/>
              <w:rPr/>
            </w:pPr>
            <w:r>
              <w:rPr/>
              <w:t>Проведение СМР (при необходимости, в соответствии с проектом, на данном этапе произвести комплекс работ по восстановлени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ю</w:t>
            </w:r>
            <w:r>
              <w:rPr/>
              <w:t xml:space="preserve"> прилегающей территории до первоначального состояния).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hanging="360" w:left="720" w:right="0"/>
              <w:rPr/>
            </w:pPr>
            <w:r>
              <w:rPr/>
              <w:t>Проведение ПНР, в том числе актуализация (при необходимости, в соответствии с проектом) однолинейных схем 10 кВ и прописывание элементов в АСТУ ОТУ (визуально и привязка ТС, ТИ и ТУ).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Особые требования для производства работ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aption"/>
              <w:widowControl w:val="false"/>
              <w:spacing w:before="0" w:after="200"/>
              <w:ind w:firstLine="458" w:left="0" w:right="0"/>
              <w:jc w:val="both"/>
              <w:rPr>
                <w:rFonts w:ascii="Times New Roman" w:hAnsi="Times New Roman" w:cs="Times New Roman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color w:val="000000"/>
                <w:sz w:val="24"/>
                <w:szCs w:val="24"/>
              </w:rPr>
              <w:t>Свидетельство регистрации электротехнической лаборатории в органах Ростехнадзора РФ с разрешенными видами приемо–сдаточных испытаний, необходимых для электрооборудования, указанного в рабочей документации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Условия обеспечения объекта материалами и оборудованием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ind w:firstLine="283" w:left="33" w:right="0"/>
              <w:jc w:val="both"/>
              <w:rPr/>
            </w:pPr>
            <w:r>
              <w:rPr/>
              <w:t>Подрядчик принимает на себя обязательство по поставке всех материалов, предусмотренных утвержденной рабочей документацией;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firstLine="283" w:left="33" w:right="0"/>
              <w:jc w:val="both"/>
              <w:rPr/>
            </w:pPr>
            <w:r>
              <w:rPr/>
              <w:t>Продукция должна быть поставлена в соответствии с номенклатурой и количеством, определенными утвержденной проектно - сметной документацией и отвечать требованиям Государственных стандартов, либо требованиям нормативно – технической документации производителей, утвержденной в установленном порядке.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firstLine="283" w:left="33" w:right="0"/>
              <w:jc w:val="both"/>
              <w:rPr/>
            </w:pPr>
            <w:r>
              <w:rPr/>
              <w:t xml:space="preserve">Продукция должна быть новой, ранее не использованной, и дата изготовления не ранее 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1 </w:t>
            </w:r>
            <w:r>
              <w:rPr/>
              <w:t>кв. 20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  <w:r>
              <w:rPr/>
              <w:t xml:space="preserve"> г.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firstLine="283" w:left="33" w:right="0"/>
              <w:jc w:val="both"/>
              <w:rPr/>
            </w:pPr>
            <w:r>
              <w:rPr/>
              <w:t>Климатическое исполнение в соответствии с Межгосударственным Стандартом ГОСТ 15150-69.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ind w:firstLine="283" w:left="33" w:right="0"/>
              <w:jc w:val="both"/>
              <w:rPr/>
            </w:pPr>
            <w:r>
              <w:rPr/>
              <w:t>Продукция, подлежащая обязательной сертификации, должна иметь сертификаты соответствия в соответствии с ФЗ от 27.12.2002 г. №184-ФЗ «О техническом регулировании». Копия данных документов предоставляется вместе с конкурсной документацией.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>
                <w:color w:val="000000"/>
                <w:shd w:fill="auto" w:val="clear"/>
              </w:rPr>
            </w:pPr>
            <w:r>
              <w:rPr>
                <w:color w:val="000000"/>
                <w:shd w:fill="auto" w:val="clear"/>
              </w:rPr>
              <w:t>Требование к обоснованию стоимости выполнения работ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numPr>
                <w:ilvl w:val="0"/>
                <w:numId w:val="11"/>
              </w:numPr>
              <w:ind w:firstLine="316" w:left="0" w:right="0"/>
              <w:jc w:val="both"/>
              <w:rPr>
                <w:color w:val="000000"/>
                <w:shd w:fill="auto" w:val="clear"/>
              </w:rPr>
            </w:pPr>
            <w:r>
              <w:rPr>
                <w:color w:val="000000"/>
                <w:shd w:fill="auto" w:val="clear"/>
              </w:rPr>
              <w:t>Требования к составлению сметной документации: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Метод расчета стоимости.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Сметную стоимость строительства следует определять ресурсно-индексным методом на основании сметных норм и текущих сметных цен на соответствующие ресурсы, размещенных в федеральной государственной информационной системе ценообразования в строительстве (ФГИС ЦС). В случае отсутствия в ФГИС ЦС данных по отдельным строительным машинам и механизмам, по стоимости отдельных материалов, изделий, конструкций и оборудования, их сметная цена в текущем уровне цен рассчитывается как произведение базисной цены таких ресурсов и индексов к группам аналогичных ресурсов. Соответствующие индексы также должны быть размещены в ФГИС ЦС.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Определение стоимости материалов и оборудования.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Если материалы и оборудование имеются в сметных нормативах: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hanging="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Используются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сметные цен</w:t>
            </w:r>
            <w:r>
              <w:rPr>
                <w:rFonts w:cs="Times New Roman"/>
                <w:sz w:val="24"/>
                <w:szCs w:val="24"/>
                <w:shd w:fill="FFFFFF" w:val="clear"/>
              </w:rPr>
              <w:t>ы бе</w:t>
            </w:r>
            <w:r>
              <w:rPr>
                <w:rFonts w:cs="Times New Roman"/>
                <w:sz w:val="24"/>
                <w:szCs w:val="24"/>
              </w:rPr>
              <w:t>з замены на аналоги.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hanging="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Запрещено применять нормативы, если характеристики не совпадают (марка, ГОСТ, ТУ и т. д.).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hanging="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Если материа</w:t>
            </w:r>
            <w:r>
              <w:rPr>
                <w:rFonts w:cs="Times New Roman"/>
                <w:sz w:val="24"/>
                <w:szCs w:val="24"/>
                <w:shd w:fill="FFFFFF" w:val="clear"/>
              </w:rPr>
              <w:t>лов и оборудования отсутствуют в нормативах: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hanging="0" w:left="0" w:right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shd w:fill="FFFFFF" w:val="clear"/>
              </w:rPr>
              <w:t>Стоимость обосновывается коммерческими предложениями (с указанием реквизитов поставщика, даты, цены за единицу, транспортных расходов).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ind w:hanging="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shd w:fill="FFFFFF" w:val="clear"/>
              </w:rPr>
              <w:t>Проводится </w:t>
            </w:r>
            <w:r>
              <w:rPr>
                <w:rFonts w:cs="Times New Roman"/>
                <w:sz w:val="24"/>
                <w:szCs w:val="24"/>
              </w:rPr>
              <w:t xml:space="preserve">конъюнктурный </w:t>
            </w:r>
            <w:r>
              <w:rPr>
                <w:rFonts w:cs="Times New Roman"/>
                <w:sz w:val="24"/>
                <w:szCs w:val="24"/>
                <w:shd w:fill="FFFFFF" w:val="clear"/>
              </w:rPr>
              <w:t>анализ стоимости</w:t>
            </w:r>
            <w:r>
              <w:rPr>
                <w:rFonts w:cs="Times New Roman"/>
                <w:sz w:val="24"/>
                <w:szCs w:val="24"/>
              </w:rPr>
              <w:t xml:space="preserve"> (с приложением не менее 3 (трех) коммерческих предложений).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Конъюнктурный анализ стоимости выполняется на основании информации о текущей стоимости применяемых материалов и оборудования и согласовывается Заказчиком.</w:t>
            </w:r>
          </w:p>
          <w:p>
            <w:pPr>
              <w:pStyle w:val="Normal"/>
              <w:widowControl w:val="false"/>
              <w:spacing w:before="0" w:after="60"/>
              <w:ind w:firstLine="316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  <w:shd w:fill="auto" w:val="clear"/>
              </w:rPr>
              <w:t>3. Сметная документация и обоснования сметной стоимости предоставляются на бумажном носителе с оригиналами требуемых подписей и печатей и в электронном виде (в формате *.xml, *.xlsx).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  <w:bookmarkStart w:id="14" w:name="_Ref166311076"/>
            <w:bookmarkStart w:id="15" w:name="_Ref166311076"/>
            <w:bookmarkEnd w:id="15"/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Требования к соблюдению техники безопасности и окружающей среды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/>
            </w:pPr>
            <w:r>
              <w:rPr/>
              <w:t>В соответствии с требованиями действующих нормативных документов РФ, указаниями в проектно - сметной документации и условиями проекта договора подряда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Lines/>
              <w:widowControl w:val="false"/>
              <w:suppressLineNumbers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Требования к составу и объему исполнительной документации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Обязательное условия подготовки подрядной организации исполнительной документации в соответствии с требованиями нормативно – технических документов и условиями проекта договора подряда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color w:val="000000"/>
              </w:rPr>
              <w:t>Общий порядок приемки выполненных работ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firstLine="283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Общий порядок приемки работ по закупке оговорен в проекте договора подряда в составе конкурсной документации.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ind w:firstLine="283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 сдаче – приемке работ Подрядчик обязан предоставить исполнительную съемку по объекту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строительства</w:t>
            </w:r>
            <w:r>
              <w:rPr>
                <w:color w:val="000000"/>
                <w:shd w:fill="auto" w:val="clear"/>
              </w:rPr>
              <w:t xml:space="preserve"> с регистрацией в уполномоченном органе исполнительной власти Республики Адыгея.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ind w:firstLine="283" w:left="33" w:right="0"/>
              <w:jc w:val="both"/>
              <w:rPr>
                <w:color w:val="000000"/>
              </w:rPr>
            </w:pPr>
            <w:r>
              <w:rPr>
                <w:color w:val="000000"/>
              </w:rPr>
              <w:t>Приемка законченного строительство объекта приемочной комиссией осуществляется с оформлением Акта приемки законченного строительством объекта приемочной комиссией (КС-14).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uppressLineNumbers/>
              <w:suppressAutoHyphens w:val="true"/>
              <w:spacing w:before="0" w:after="0"/>
              <w:ind w:hanging="0" w:left="0" w:right="34"/>
              <w:rPr/>
            </w:pPr>
            <w:r>
              <w:rPr/>
              <w:t>Требования к подрядной организации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Indent"/>
              <w:widowControl w:val="false"/>
              <w:tabs>
                <w:tab w:val="clear" w:pos="708"/>
                <w:tab w:val="left" w:pos="993" w:leader="none"/>
              </w:tabs>
              <w:ind w:hanging="0" w:left="29" w:righ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Подрядная организация:</w:t>
            </w:r>
          </w:p>
          <w:p>
            <w:pPr>
              <w:pStyle w:val="BodyTextIndent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993" w:leader="none"/>
              </w:tabs>
              <w:ind w:firstLine="709" w:left="0" w:right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должна обладать необходимыми профессиональными знаниями и </w:t>
            </w:r>
            <w:r>
              <w:rPr>
                <w:color w:val="000000"/>
                <w:sz w:val="26"/>
                <w:szCs w:val="26"/>
                <w:shd w:fill="auto" w:val="clear"/>
              </w:rPr>
              <w:t>опытом;</w:t>
            </w:r>
          </w:p>
          <w:p>
            <w:pPr>
              <w:pStyle w:val="BodyTextIndent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993" w:leader="none"/>
              </w:tabs>
              <w:ind w:firstLine="709" w:left="0" w:right="0"/>
              <w:jc w:val="both"/>
              <w:rPr>
                <w:color w:val="000000"/>
                <w:sz w:val="26"/>
                <w:szCs w:val="26"/>
                <w:shd w:fill="auto" w:val="clear"/>
              </w:rPr>
            </w:pPr>
            <w:r>
              <w:rPr>
                <w:color w:val="000000"/>
                <w:sz w:val="26"/>
                <w:szCs w:val="26"/>
                <w:shd w:fill="auto" w:val="clear"/>
              </w:rPr>
              <w:t>должна быть членом саморегулируемой организации в области строительства, соответствующей  виду выполняемых работ согласно ТЗ;</w:t>
            </w:r>
          </w:p>
          <w:p>
            <w:pPr>
              <w:pStyle w:val="BodyTextIndent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993" w:leader="none"/>
              </w:tabs>
              <w:ind w:firstLine="709" w:left="0" w:righ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 право привлекать специализированные Субподрядные организации, по согласованию с Заказчиком;</w:t>
            </w:r>
          </w:p>
          <w:p>
            <w:pPr>
              <w:pStyle w:val="BodyTextIndent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1134" w:leader="none"/>
              </w:tabs>
              <w:suppressAutoHyphens w:val="false"/>
              <w:spacing w:lineRule="auto" w:line="264" w:before="0" w:after="0"/>
              <w:ind w:firstLine="709" w:left="0" w:right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выбор типа оборудования и заводов изготовителей производить по согласованию с Заказчиком;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634" w:leader="none"/>
                <w:tab w:val="left" w:pos="993" w:leader="none"/>
              </w:tabs>
              <w:spacing w:lineRule="auto" w:line="264"/>
              <w:ind w:firstLine="709" w:left="0" w:righ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  <w:tab/>
            </w:r>
            <w:r>
              <w:rPr>
                <w:sz w:val="26"/>
                <w:szCs w:val="26"/>
                <w:lang w:eastAsia="ar-SA"/>
              </w:rPr>
              <w:t>ответственность</w:t>
            </w:r>
            <w:r>
              <w:rPr>
                <w:sz w:val="26"/>
                <w:szCs w:val="26"/>
              </w:rPr>
              <w:t xml:space="preserve"> подрядной организации за невыполнение персоналом подрядчика нормативных требований по охране труда при производстве работ, правил внутреннего трудового распорядка;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634" w:leader="none"/>
                <w:tab w:val="left" w:pos="993" w:leader="none"/>
              </w:tabs>
              <w:spacing w:lineRule="auto" w:line="264"/>
              <w:ind w:firstLine="709" w:left="0" w:righ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  <w:tab/>
              <w:t>право Общества контролировать соблюдение персоналом подрядчика требований охраны труда, промышленной и пожарной безопасности и т.п. на рабочих местах подрядчика и принимать меры по пресечению нарушений, приостановлению выполняемых работ, удалению персонала подрядчика с территории энергообъекта/охранной зоны ВЛ до устранения ими всех выявленных нарушений, вплоть до отстранения от работы бригад или отдельных лиц;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634" w:leader="none"/>
                <w:tab w:val="left" w:pos="993" w:leader="none"/>
              </w:tabs>
              <w:spacing w:lineRule="auto" w:line="264"/>
              <w:ind w:firstLine="567" w:left="0" w:righ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  <w:tab/>
              <w:t xml:space="preserve">ответственность  подрядной организации за </w:t>
            </w:r>
            <w:r>
              <w:rPr>
                <w:sz w:val="26"/>
                <w:szCs w:val="26"/>
                <w:shd w:fill="FFFFFF" w:val="clear"/>
              </w:rPr>
              <w:t>невыполнение графика работ по договору подряда и компенсацию убытков, понесенных Обществом из-за грубых нарушений правил и норм охраны труда, вызвавших отстранение бригады от работы, отказ от дальнейшего допуска бригады, корректировку сроков графика работ по договору подряда;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634" w:leader="none"/>
                <w:tab w:val="left" w:pos="993" w:leader="none"/>
              </w:tabs>
              <w:spacing w:lineRule="auto" w:line="264"/>
              <w:ind w:firstLine="567" w:left="0" w:righ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ab/>
              <w:t>календарный план выполнения работ с указанием объекта и объема выполняемых на нем работ;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634" w:leader="none"/>
                <w:tab w:val="left" w:pos="993" w:leader="none"/>
              </w:tabs>
              <w:spacing w:lineRule="auto" w:line="264"/>
              <w:ind w:firstLine="567" w:left="0" w:righ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ab/>
              <w:t>наличие в штате подрядной организации либо в штате привлекаемых субподрядчиков</w:t>
            </w:r>
            <w:r>
              <w:rPr>
                <w:sz w:val="26"/>
                <w:szCs w:val="26"/>
              </w:rPr>
              <w:t xml:space="preserve"> направляющей своих работников для выполнения работ, квалифицированного персонала, имеющего профессиональную подготовку в соответствии с предстоящей работой, не имеющего медицинских противопоказаний для выполнения работ с вредными и (или) опасными условиями труда, прошедшего в установленном руководителем подрядной / субподрядной организации порядке проверку знаний правил и норм охраны труда, технической эксплуатации, пожарной безопасности и других государственных норм и правил (для соответствующих категорий работников), прошедшего обучение по оказанию первой помощи пострадавшим, обученного приемам освобождения пострадавших от действия электрического тока (для электротехнического персонала),  обладающего необходимыми правами для организации и производства работ в действующих электроустановках (для командированного персонала обязательно наличие персонала, обладающего правом выдачи нарядов-допусков, распоряжений, быть ответственным руководителем работ, производителем работ (наблюдающим).</w:t>
            </w:r>
          </w:p>
          <w:p>
            <w:pPr>
              <w:pStyle w:val="ListParagraph"/>
              <w:widowControl w:val="false"/>
              <w:ind w:firstLine="596" w:left="0" w:righ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укомплектованность персонала исправными и испытанными средствами защиты, спецодеждой, инструментом и приспособлениями в соответствии с действующими нормами применительно к характеру выполняемых работ</w:t>
            </w:r>
          </w:p>
        </w:tc>
      </w:tr>
      <w:tr>
        <w:trPr/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  <w:bookmarkStart w:id="16" w:name="_Ref166313061"/>
            <w:bookmarkStart w:id="17" w:name="_Ref354440864"/>
            <w:bookmarkStart w:id="18" w:name="_Ref166313061"/>
            <w:bookmarkStart w:id="19" w:name="_Ref354440864"/>
            <w:bookmarkEnd w:id="18"/>
            <w:bookmarkEnd w:id="19"/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rPr/>
            </w:pPr>
            <w:r>
              <w:rPr/>
              <w:t>Порядок расчетов за выполненные работы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rmal"/>
              <w:widowControl w:val="false"/>
              <w:ind w:hanging="0" w:left="0" w:right="0"/>
              <w:jc w:val="both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Общие требования в части выполнения работ по разработке проектно – сметной документации:</w:t>
            </w:r>
          </w:p>
          <w:p>
            <w:pPr>
              <w:pStyle w:val="ConsNormal"/>
              <w:widowControl w:val="false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</w:r>
          </w:p>
          <w:p>
            <w:pPr>
              <w:pStyle w:val="ConsNormal"/>
              <w:widowControl w:val="false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Сдача-приемка разработанной по Договору документации, а также выполненных работ происходит в следующем порядке:</w:t>
            </w:r>
          </w:p>
          <w:p>
            <w:pPr>
              <w:pStyle w:val="Normal"/>
              <w:widowControl w:val="false"/>
              <w:shd w:val="clear" w:fill="FFFFFF"/>
              <w:ind w:firstLine="720" w:left="0" w:right="0"/>
              <w:rPr>
                <w:b/>
                <w:spacing w:val="-4"/>
              </w:rPr>
            </w:pPr>
            <w:r>
              <w:rPr>
                <w:b/>
                <w:spacing w:val="-4"/>
              </w:rPr>
              <w:t>Сдача-приемка выполненных работ по любому из объектов договора проводится в два этапа:</w:t>
            </w:r>
          </w:p>
          <w:p>
            <w:pPr>
              <w:pStyle w:val="Normal"/>
              <w:widowControl w:val="false"/>
              <w:shd w:val="clear" w:fill="FFFFFF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1 этап – приемка и утверждение Заказчиком проектно-сметной документации, разработанной Подрядчиком на основании технического задания и предварительного согласования места размещения объекта договора, утвержденных в установленном законодательством порядке; приемка Заказчиком законченных строительно-монтажных работ и исполнительной съемки по объекту договора в целом (на основании форм КС-2, КС-3).</w:t>
            </w:r>
          </w:p>
          <w:p>
            <w:pPr>
              <w:pStyle w:val="Normal"/>
              <w:widowControl w:val="false"/>
              <w:shd w:val="clear" w:fill="FFFFFF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 xml:space="preserve">2 этап – приемка результатов выполнения Подрядчиком объекта договора в целом с подписанием сторонами Акта </w:t>
            </w:r>
            <w:r>
              <w:rPr>
                <w:bCs/>
                <w:spacing w:val="-4"/>
              </w:rPr>
              <w:t>приемки законченного строительством объекта приемочной комиссией</w:t>
            </w:r>
            <w:r>
              <w:rPr>
                <w:bCs/>
                <w:color w:val="000000"/>
                <w:spacing w:val="-4"/>
              </w:rPr>
              <w:t xml:space="preserve"> по форме КС-14.</w:t>
            </w:r>
          </w:p>
          <w:p>
            <w:pPr>
              <w:pStyle w:val="Normal"/>
              <w:widowControl w:val="false"/>
              <w:ind w:firstLine="741" w:left="0" w:right="0"/>
              <w:rPr>
                <w:spacing w:val="-4"/>
              </w:rPr>
            </w:pPr>
            <w:r>
              <w:rPr>
                <w:bCs/>
                <w:color w:val="000000"/>
                <w:spacing w:val="-4"/>
                <w:kern w:val="2"/>
              </w:rPr>
              <w:t>Сдача-приемка выполненных работ по Договору осуществляется по завершению</w:t>
            </w:r>
            <w:r>
              <w:rPr>
                <w:color w:val="000000"/>
                <w:spacing w:val="-4"/>
              </w:rPr>
              <w:t xml:space="preserve"> выполнения полного объема работ (согласно приложени</w:t>
            </w:r>
            <w:r>
              <w:rPr>
                <w:rFonts w:eastAsia="Times New Roman" w:cs="Times New Roman"/>
                <w:color w:val="000000"/>
                <w:spacing w:val="-4"/>
                <w:kern w:val="0"/>
                <w:sz w:val="24"/>
                <w:szCs w:val="24"/>
                <w:lang w:val="ru-RU" w:eastAsia="ru-RU" w:bidi="ar-SA"/>
              </w:rPr>
              <w:t>я</w:t>
            </w:r>
            <w:r>
              <w:rPr>
                <w:color w:val="000000"/>
                <w:spacing w:val="-4"/>
              </w:rPr>
              <w:t xml:space="preserve"> № </w:t>
            </w:r>
            <w:r>
              <w:rPr>
                <w:rFonts w:eastAsia="Times New Roman" w:cs="Times New Roman"/>
                <w:color w:val="000000"/>
                <w:spacing w:val="-4"/>
                <w:kern w:val="0"/>
                <w:sz w:val="24"/>
                <w:szCs w:val="24"/>
                <w:lang w:val="ru-RU" w:eastAsia="ru-RU" w:bidi="ar-SA"/>
              </w:rPr>
              <w:t>1 к договору</w:t>
            </w:r>
            <w:r>
              <w:rPr>
                <w:color w:val="000000"/>
                <w:spacing w:val="-4"/>
              </w:rPr>
              <w:t xml:space="preserve"> и условий Договора) не позднее срока, указанного в Календарном плане (приложение № </w:t>
            </w:r>
            <w:r>
              <w:rPr>
                <w:rFonts w:eastAsia="Times New Roman" w:cs="Times New Roman"/>
                <w:color w:val="000000"/>
                <w:spacing w:val="-4"/>
                <w:kern w:val="0"/>
                <w:sz w:val="24"/>
                <w:szCs w:val="24"/>
                <w:lang w:val="ru-RU" w:eastAsia="ru-RU" w:bidi="ar-SA"/>
              </w:rPr>
              <w:t>3 к договору</w:t>
            </w:r>
            <w:r>
              <w:rPr>
                <w:color w:val="000000"/>
                <w:spacing w:val="-4"/>
              </w:rPr>
              <w:t>).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В рамках выполнения работ по Договору Подрядчик обязан произвести  предварительные согласования с Заказчиком в части основных технических решений, принципиальных электрических схем, количества и основных параметров электротехнического оборудования и материалов и иные параметры. Изменение сроков выполнения последующих работ в связи с устранением Подрядчиком замечаний, выданных Заказчиком в ходе предварительного согласования по предшествующим этапам работ, не производится.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В случае невыполнения обязательств Подрядчиком по предварительному согласованию основных технических решений, принципиальных электрических схем, количества и основных параметров электротехнического оборудования и материалов и иные параметры, такое согласование производится Заказчиком до проведения внутриведомственной экспертизы результатов работ по Договору. Риски корректировки результатов работ по Договору по результатам согласования с Заказчиком несет Подрядчик за свой счет без изменения сроков выполнения этапов работ по Договору.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Если в процессе выполнения работы выясняется неизбежность получения отрицательного результата или нецелесообразность дальнейшего проведения работы, Подрядчик обязан незамедлительно приостановить ее, поставив об этом в известность Заказчика не позднее 5 (пяти) календарных дней после приостановления работы. В этом случае стороны обязаны в течение 10 (десяти) календарных дней с момента получения Заказчиком уведомления рассмотреть вопрос о целесообразности продолжения работ.</w:t>
            </w:r>
          </w:p>
          <w:p>
            <w:pPr>
              <w:pStyle w:val="Normal"/>
              <w:widowControl w:val="false"/>
              <w:rPr>
                <w:spacing w:val="-4"/>
              </w:rPr>
            </w:pPr>
            <w:r>
              <w:rPr>
                <w:spacing w:val="-4"/>
              </w:rPr>
              <w:t xml:space="preserve">          </w:t>
            </w:r>
            <w:r>
              <w:rPr>
                <w:spacing w:val="-4"/>
              </w:rPr>
              <w:t xml:space="preserve">По завершению выполнения полного объема работ (разработки/выпуска документации) по Договору Подрядчик направляет полный комплект результатов работ по Договору официально в адрес Заказчика в электронном виде на </w:t>
            </w:r>
            <w:r>
              <w:rPr>
                <w:spacing w:val="-4"/>
                <w:lang w:val="en-US"/>
              </w:rPr>
              <w:t>CD</w:t>
            </w:r>
            <w:r>
              <w:rPr>
                <w:spacing w:val="-4"/>
              </w:rPr>
              <w:t xml:space="preserve"> и на бумажном носителе для проведения внутриведомственной экспертизы. При этом текстовую и графическую информацию необходимо предоставить в стандартных форматах Windows, MSOffice, Acrobat Reader; спецификацию на поставку оборудования и материалов – также предоставить в формате MSExcel, сметную документацию помимо стандартного формата Acrobat Reader необходимо предоставить в формате MSExcel.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Для проведения внутриведомственной экспертизы предоставляется полный пакет документации (проектно – сметная документация и иная документация) в соответствии с Законодательством и условиями Договора.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По итогам внутриведомственной экспертизы Заказчик выдает Подрядчику заключение (положительное или отрицательное).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 xml:space="preserve"> </w:t>
            </w:r>
            <w:r>
              <w:rPr>
                <w:spacing w:val="-4"/>
              </w:rPr>
              <w:t>В случае выдачи Заказчиком отрицательного заключения внутриведомственной экспертизы Подрядчик обязан безвозмездно устранить все выявленные замечания к предоставленной для проведения внутриведомственной экспертизы документации в срок, не превышающий 10 (десяти) рабочих дней с момента их получения Подрядчиком.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После устранения Подрядчиком всех замечаний, претензий (указанных в отрицательном заключении внутриведомственной экспертизы) и повторного направления в адрес Заказчика полного комплекта откорректированной документации, Заказчик проводит повторную внутриведомственную экспертизу.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При отсутствии замечаний и претензий к документации, переданной для проведения повторной внутриведомственной экспертизы, Заказчик подписывает положительное заключение внутриведомственной экспертизы.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 xml:space="preserve">При наличии замечаний и претензий к документации, переданной для проведения повторной внутриведомственной экспертизы, Заказчиком в адрес Подрядчика одновременно с отрицательным заключением внутриведомственной экспертизы направляется письмо с уведомлением о нарушении Подрядчиком обязательств по Договору </w:t>
            </w:r>
            <w:r>
              <w:rPr>
                <w:color w:val="000000"/>
                <w:spacing w:val="-4"/>
              </w:rPr>
              <w:t>(п. 12.1. Договора).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 xml:space="preserve">На основании положительного заключения внутриведомственной экспертизы, Подрядчик в течение 2 (двух) рабочих дней, </w:t>
            </w:r>
            <w:r>
              <w:rPr>
                <w:spacing w:val="-4"/>
                <w:shd w:fill="FFFFFF" w:val="clear"/>
              </w:rPr>
              <w:t>но не позднее</w:t>
            </w:r>
            <w:r>
              <w:rPr>
                <w:spacing w:val="-4"/>
              </w:rPr>
              <w:t xml:space="preserve"> срока завершения работ по Договору, направляет в адрес Заказчика уведомление о готовности выполненных работ.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Основанием для составления и подписания акта сдачи-приемки работ является предоставление в адрес Заказчика и согласование необходимой (отчеты и иная документация, используемая в составе проектно – сметной документации), и т.п.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 xml:space="preserve">К уведомлению о готовности работ по Договору Подрядчиком должны быть приложены: экземпляры разработанной документации на бумажных носителях, а также экземпляры разработанной документации в электронном виде на CD. В электронном виде (на </w:t>
            </w:r>
            <w:r>
              <w:rPr>
                <w:spacing w:val="-4"/>
                <w:lang w:val="en-US"/>
              </w:rPr>
              <w:t>CD</w:t>
            </w:r>
            <w:r>
              <w:rPr>
                <w:spacing w:val="-4"/>
              </w:rPr>
              <w:t>) текстовую и графическую информацию необходимо предоставить в стандартных форматах Windows, MS Office, Acrobat Reader; спецификацию на поставку оборудования и материалов – также предоставить в формате MS Excel. Сметную документацию помимо стандартного формата Acrobat Reader необходимо предоставить в формате MS Excel.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Также документация, передаваемая Заказчику, должна содержать: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jc w:val="left"/>
              <w:rPr>
                <w:spacing w:val="-4"/>
              </w:rPr>
            </w:pPr>
            <w:r>
              <w:rPr>
                <w:spacing w:val="-4"/>
              </w:rPr>
              <w:t>положительное заключение внутриведомственной экспертизы разработанной проектно-сметной документации ООО "ЭНСИ";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shd w:val="clear" w:fill="FFFFFF"/>
              <w:tabs>
                <w:tab w:val="clear" w:pos="708"/>
                <w:tab w:val="left" w:pos="709" w:leader="none"/>
              </w:tabs>
              <w:spacing w:before="0" w:after="0"/>
              <w:rPr>
                <w:spacing w:val="-4"/>
              </w:rPr>
            </w:pPr>
            <w:r>
              <w:rPr>
                <w:spacing w:val="-4"/>
              </w:rPr>
              <w:t>результаты выполнения работ по получению исходно-разрешительной документации в рамках Договора.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Передача Заказчику неполного комплекта документации, несоответствующей требованиям Договора, не допускается.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Датой завершения обязательств Подрядчика по выполнению исходно-разрешительной, проектно - сметной документации в целом является дата подписания акта сдачи-приемки проектных работ и иных материалов, предусмотренных настоящим договором.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</w:r>
          </w:p>
          <w:p>
            <w:pPr>
              <w:pStyle w:val="ConsNormal"/>
              <w:widowControl w:val="false"/>
              <w:jc w:val="both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Общие требования в части строительства объекта:</w:t>
            </w:r>
          </w:p>
          <w:p>
            <w:pPr>
              <w:pStyle w:val="Normal"/>
              <w:widowControl w:val="false"/>
              <w:shd w:val="clear" w:fill="FFFFFF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 xml:space="preserve">Основанием для начала выполнения строительно-монтажных работ по объектам договора является приказ об утверждении Заказчиком проектно-сметной </w:t>
            </w:r>
            <w:r>
              <w:rPr>
                <w:rFonts w:eastAsia="Times New Roman" w:cs="Times New Roman"/>
                <w:color w:val="auto"/>
                <w:spacing w:val="-4"/>
                <w:kern w:val="0"/>
                <w:sz w:val="24"/>
                <w:szCs w:val="24"/>
                <w:lang w:val="ru-RU" w:eastAsia="ru-RU" w:bidi="ar-SA"/>
              </w:rPr>
              <w:t>д</w:t>
            </w:r>
            <w:r>
              <w:rPr>
                <w:spacing w:val="-4"/>
              </w:rPr>
              <w:t>окументации, разработанной Подрядчиком в рамках действия настоящего договора.</w:t>
            </w:r>
          </w:p>
          <w:p>
            <w:pPr>
              <w:pStyle w:val="Normal"/>
              <w:widowControl w:val="false"/>
              <w:shd w:val="clear" w:fill="FFFFFF"/>
              <w:tabs>
                <w:tab w:val="clear" w:pos="708"/>
                <w:tab w:val="left" w:pos="425" w:leader="none"/>
              </w:tabs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Сдача-приемка работ по Договору осуществляется единожды после окончания полного комплекса строительно – монтажных, пусконаладочных и прочих работ, предусмотренных утвержденной Заказчиком проектно – сметной документацией, с оформлением актов выполненных работ по форме КС-2 и справок о стоимости выполненных работ и затрат по форме КС-3.</w:t>
            </w:r>
          </w:p>
          <w:p>
            <w:pPr>
              <w:pStyle w:val="Normal"/>
              <w:widowControl w:val="false"/>
              <w:shd w:val="clear" w:fill="FFFFFF"/>
              <w:tabs>
                <w:tab w:val="clear" w:pos="708"/>
                <w:tab w:val="left" w:pos="425" w:leader="none"/>
              </w:tabs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работ.</w:t>
            </w:r>
          </w:p>
          <w:p>
            <w:pPr>
              <w:pStyle w:val="Normal"/>
              <w:widowControl w:val="false"/>
              <w:shd w:val="clear" w:fill="FFFFFF"/>
              <w:tabs>
                <w:tab w:val="clear" w:pos="708"/>
                <w:tab w:val="left" w:pos="425" w:leader="none"/>
              </w:tabs>
              <w:ind w:firstLine="720" w:left="0" w:right="0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До начала приемки выполненных работ передать Заказчику 2 (два) экземпляра исполнительной документации согласно перечню, переданному Заказчиком Подрядчику, с письменным подтверждением соответствия переданной документации фактически выполненным работам, в соответствии с условиями договора.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Готовность принимаемых ответственных конструкций, скрытых работ и систем подтверждается подписанием представителями Заказчика и Подрядчика актов освидетельствования конструкций и скрытых работ.</w:t>
            </w:r>
          </w:p>
          <w:p>
            <w:pPr>
              <w:pStyle w:val="Normal"/>
              <w:widowControl w:val="false"/>
              <w:ind w:firstLine="720" w:left="0" w:right="0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Если представитель Подрядчика не явится в назначенное место и время для осуществления приемки, работы считаются невыполненными в срок и Заказчик вправе применить штрафные санкции согласно разделу 12 договора.</w:t>
            </w:r>
          </w:p>
          <w:p>
            <w:pPr>
              <w:pStyle w:val="Normal"/>
              <w:widowControl w:val="false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Приемка объекта в целом осуществляется Приемочной комиссией. Состав комиссии утверждается Заказчиком. Результаты работы приемочной комиссии оформляются актами в установленном Заказчиком порядке.</w:t>
            </w:r>
          </w:p>
          <w:p>
            <w:pPr>
              <w:pStyle w:val="Normal"/>
              <w:widowControl w:val="false"/>
              <w:shd w:val="clear" w:fill="FFFFFF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В случае если Заказчиком при приемке работ будут обнаружены недостатки, Подрядчик своими силами и без увеличения цены договора обязан в согласованный срок устранить выявленные недостатки.</w:t>
            </w:r>
          </w:p>
          <w:p>
            <w:pPr>
              <w:pStyle w:val="Normal"/>
              <w:widowControl w:val="false"/>
              <w:shd w:val="clear" w:fill="FFFFFF"/>
              <w:tabs>
                <w:tab w:val="clear" w:pos="708"/>
                <w:tab w:val="left" w:pos="709" w:leader="none"/>
              </w:tabs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Подрядчика.</w:t>
            </w:r>
          </w:p>
          <w:p>
            <w:pPr>
              <w:pStyle w:val="Normal"/>
              <w:widowControl w:val="false"/>
              <w:shd w:val="clear" w:fill="FFFFFF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Если Заказчик считает, что устранение недостатков существенно увеличит сроки выполнения работ и выявленные недостатки являются для него приемлемыми, а также не нарушают требования безопасности последующей эксплуатации объекта, то он вправе принять выполненные работы. При этом Заказчик вправе уменьшить сумму, подлежащую к оплате за принятые работы, на стоимость устранения выявленных недостатков.</w:t>
            </w:r>
          </w:p>
          <w:p>
            <w:pPr>
              <w:pStyle w:val="Normal"/>
              <w:widowControl w:val="false"/>
              <w:shd w:val="clear" w:fill="FFFFFF"/>
              <w:ind w:firstLine="720" w:left="0" w:right="0"/>
              <w:rPr>
                <w:spacing w:val="-4"/>
              </w:rPr>
            </w:pPr>
            <w:r>
              <w:rPr>
                <w:spacing w:val="-4"/>
              </w:rPr>
              <w:t>Если в процессе выполнения работы выясняется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в 10-дневный срок после приостановления работы. В этом случае стороны обязаны в 5-дневный срок рассмотреть вопрос о целесообразности продолжения работ.</w:t>
            </w:r>
          </w:p>
          <w:p>
            <w:pPr>
              <w:pStyle w:val="Normal"/>
              <w:widowControl w:val="false"/>
              <w:shd w:val="clear" w:fill="FFFFFF"/>
              <w:spacing w:before="0" w:after="60"/>
              <w:ind w:firstLine="720" w:left="0" w:right="0"/>
              <w:rPr/>
            </w:pPr>
            <w:r>
              <w:rPr/>
            </w:r>
          </w:p>
        </w:tc>
      </w:tr>
      <w:tr>
        <w:trPr>
          <w:trHeight w:val="1385" w:hRule="atLeast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3"/>
              <w:widowControl w:val="false"/>
              <w:numPr>
                <w:ilvl w:val="0"/>
                <w:numId w:val="1"/>
              </w:numPr>
              <w:tabs>
                <w:tab w:val="left" w:pos="284" w:leader="none"/>
                <w:tab w:val="left" w:pos="312" w:leader="none"/>
              </w:tabs>
              <w:spacing w:before="0" w:after="0"/>
              <w:ind w:hanging="796" w:left="108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  <w:bookmarkStart w:id="20" w:name="_Ref166313235"/>
            <w:bookmarkStart w:id="21" w:name="_Ref354428632"/>
            <w:bookmarkStart w:id="22" w:name="_Ref166313235"/>
            <w:bookmarkStart w:id="23" w:name="_Ref354428632"/>
            <w:bookmarkEnd w:id="22"/>
            <w:bookmarkEnd w:id="23"/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Lines/>
              <w:widowControl w:val="false"/>
              <w:suppressLineNumbers/>
              <w:suppressAutoHyphens w:val="true"/>
              <w:spacing w:before="0" w:after="0"/>
              <w:rPr/>
            </w:pPr>
            <w:r>
              <w:rPr/>
              <w:t>Порядок и условия оплаты за выполненные работы</w:t>
            </w:r>
          </w:p>
        </w:tc>
        <w:tc>
          <w:tcPr>
            <w:tcW w:w="6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firstLine="709" w:left="0" w:right="0"/>
              <w:rPr>
                <w:color w:val="000000"/>
              </w:rPr>
            </w:pPr>
            <w:r>
              <w:rPr>
                <w:color w:val="000000"/>
              </w:rPr>
              <w:t>Платежи осуществляются Заказчиком в следующем порядке:</w:t>
            </w:r>
          </w:p>
          <w:p>
            <w:pPr>
              <w:pStyle w:val="Normal"/>
              <w:widowControl w:val="false"/>
              <w:spacing w:before="0" w:after="0"/>
              <w:rPr/>
            </w:pPr>
            <w:r>
              <w:rPr>
                <w:color w:val="000000"/>
              </w:rPr>
              <w:t xml:space="preserve">        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90% от стоимости выполненных работ (проектных, строительно – монтажных, пусконаладочных работ) в течение 7 (семи) рабочих дней со дня подписания Сторонами Акта о приемке выполненных работ (КС-2), Справки о стоимости выполненных работ и затрат (КС-3), сформированных на основе Локальных ресурсных сметных расчетов и сметы на проектирование  (контрольную исполнительную съемку), утвержденных Заказчиком в составе проектно – сметной документации, в пределах Цены Договора.</w:t>
            </w:r>
          </w:p>
          <w:p>
            <w:pPr>
              <w:pStyle w:val="Style22"/>
              <w:widowControl w:val="false"/>
              <w:tabs>
                <w:tab w:val="left" w:pos="0" w:leader="none"/>
                <w:tab w:val="left" w:pos="720" w:leader="none"/>
                <w:tab w:val="left" w:pos="5040" w:leader="none"/>
              </w:tabs>
              <w:spacing w:lineRule="auto" w:line="240"/>
              <w:ind w:firstLine="567" w:left="0" w:righ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10% от стоимости выполненных рабо</w:t>
            </w:r>
            <w:r>
              <w:rPr>
                <w:sz w:val="24"/>
                <w:szCs w:val="24"/>
              </w:rPr>
              <w:t>т (проектных, строительно – монтажных, пусконаладочных работ) в течение 7 (семи) рабочих дней со дня подписания Сторонами Акта приемки законченного строительством объекта приемочной комиссией по форме КС-14.</w:t>
            </w:r>
            <w:r>
              <w:rPr>
                <w:spacing w:val="-4"/>
                <w:sz w:val="24"/>
                <w:szCs w:val="24"/>
              </w:rPr>
              <w:t xml:space="preserve"> Условием платежей является представление Подрядчиком Заказчику:</w:t>
            </w:r>
          </w:p>
          <w:p>
            <w:pPr>
              <w:pStyle w:val="Style21"/>
              <w:widowControl w:val="false"/>
              <w:tabs>
                <w:tab w:val="left" w:pos="0" w:leader="none"/>
                <w:tab w:val="left" w:pos="1008" w:leader="none"/>
              </w:tabs>
              <w:spacing w:lineRule="auto" w:line="240"/>
              <w:ind w:firstLine="567" w:left="0" w:right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актов сдачи-приемки работ, подписанных Заказчиком и Подрядчиком (в части выполнения проектно-изыскательских работ);</w:t>
            </w:r>
          </w:p>
          <w:p>
            <w:pPr>
              <w:pStyle w:val="Style21"/>
              <w:widowControl w:val="false"/>
              <w:tabs>
                <w:tab w:val="left" w:pos="0" w:leader="none"/>
                <w:tab w:val="left" w:pos="1008" w:leader="none"/>
              </w:tabs>
              <w:spacing w:lineRule="auto" w:line="240"/>
              <w:ind w:firstLine="567" w:left="0" w:right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актов сдачи-приемки выполненных работ по форме № КС-2, подписанных Представителем Заказчика и Подрядчиком (в части выполнения строительно-монтажных и пуско-наладочных работ);</w:t>
            </w:r>
          </w:p>
          <w:p>
            <w:pPr>
              <w:pStyle w:val="Style21"/>
              <w:widowControl w:val="false"/>
              <w:tabs>
                <w:tab w:val="left" w:pos="0" w:leader="none"/>
                <w:tab w:val="left" w:pos="1008" w:leader="none"/>
              </w:tabs>
              <w:spacing w:lineRule="auto" w:line="240"/>
              <w:ind w:firstLine="567" w:left="0" w:right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справки о стоимости выполненных работ по форме №КС-3;</w:t>
            </w:r>
          </w:p>
          <w:p>
            <w:pPr>
              <w:pStyle w:val="Style21"/>
              <w:widowControl w:val="false"/>
              <w:tabs>
                <w:tab w:val="left" w:pos="0" w:leader="none"/>
                <w:tab w:val="left" w:pos="1008" w:leader="none"/>
              </w:tabs>
              <w:spacing w:lineRule="auto" w:line="240"/>
              <w:ind w:firstLine="567" w:left="0" w:right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счета на оплату;</w:t>
            </w:r>
          </w:p>
          <w:p>
            <w:pPr>
              <w:pStyle w:val="Style21"/>
              <w:widowControl w:val="false"/>
              <w:tabs>
                <w:tab w:val="left" w:pos="0" w:leader="none"/>
                <w:tab w:val="left" w:pos="1008" w:leader="none"/>
                <w:tab w:val="left" w:pos="5040" w:leader="none"/>
              </w:tabs>
              <w:spacing w:lineRule="auto" w:line="240"/>
              <w:ind w:firstLine="567" w:left="0" w:right="0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 счета-фактуры;</w:t>
            </w:r>
          </w:p>
          <w:p>
            <w:pPr>
              <w:pStyle w:val="Normal"/>
              <w:widowControl w:val="false"/>
              <w:spacing w:before="0" w:after="0"/>
              <w:rPr>
                <w:spacing w:val="-4"/>
              </w:rPr>
            </w:pPr>
            <w:r>
              <w:rPr>
                <w:spacing w:val="-4"/>
              </w:rPr>
              <w:t xml:space="preserve">         </w:t>
            </w:r>
            <w:r>
              <w:rPr>
                <w:spacing w:val="-4"/>
              </w:rPr>
              <w:t>- передача Заказчику результатов проектно – сметной документации, актов освидетельствования работ, конструкций и другой исполнительной документации, иной документации, необходимой для дальнейшей эксплуатации такого объекта;</w:t>
            </w:r>
          </w:p>
          <w:p>
            <w:pPr>
              <w:pStyle w:val="Normal"/>
              <w:widowControl w:val="false"/>
              <w:spacing w:before="0" w:after="0"/>
              <w:ind w:firstLine="709" w:left="0" w:right="0"/>
              <w:rPr>
                <w:spacing w:val="-4"/>
              </w:rPr>
            </w:pPr>
            <w:r>
              <w:rPr>
                <w:spacing w:val="-4"/>
              </w:rPr>
              <w:t>- контрольной исполнительной съемки по объекту Договора.</w:t>
            </w:r>
          </w:p>
          <w:p>
            <w:pPr>
              <w:pStyle w:val="Normal"/>
              <w:widowControl w:val="false"/>
              <w:spacing w:before="0" w:after="0"/>
              <w:ind w:firstLine="709" w:left="0" w:right="0"/>
              <w:rPr>
                <w:spacing w:val="-4"/>
              </w:rPr>
            </w:pPr>
            <w:r>
              <w:rPr>
                <w:spacing w:val="-4"/>
              </w:rPr>
              <w:t>Если в ходе подготовки объекта к вводу в эксплуатацию обнаружатся недостатки, препятствующие его приемке, то оплата выполненных работ откладывается до устранения Подрядчиком таковых замечаний.</w:t>
            </w:r>
          </w:p>
          <w:p>
            <w:pPr>
              <w:pStyle w:val="Normal"/>
              <w:widowControl w:val="false"/>
              <w:spacing w:before="0" w:after="0"/>
              <w:ind w:firstLine="709" w:left="0" w:right="0"/>
              <w:rPr>
                <w:spacing w:val="-4"/>
              </w:rPr>
            </w:pPr>
            <w:r>
              <w:rPr>
                <w:spacing w:val="-4"/>
              </w:rPr>
              <w:t xml:space="preserve"> </w:t>
            </w:r>
            <w:r>
              <w:rPr>
                <w:spacing w:val="-4"/>
              </w:rPr>
              <w:t>Превышение Подрядчиком объемов и стоимости работ, не подтвержденных соответствующим дополнительным соглашением Сторон, оплачиваются Подрядчиком за свой счет.</w:t>
            </w:r>
          </w:p>
          <w:p>
            <w:pPr>
              <w:pStyle w:val="Normal"/>
              <w:widowControl w:val="false"/>
              <w:spacing w:before="14" w:after="14"/>
              <w:ind w:firstLine="709" w:left="0" w:right="0"/>
              <w:rPr/>
            </w:pPr>
            <w:r>
              <w:rPr/>
              <w:t xml:space="preserve"> </w:t>
            </w:r>
            <w:r>
              <w:rPr/>
              <w:t>При этом начисление процентов, предусмотренных ст.317.1 Гражданского кодекса РФ, не производится.</w:t>
            </w:r>
          </w:p>
          <w:p>
            <w:pPr>
              <w:pStyle w:val="ListParagraph"/>
              <w:widowControl w:val="false"/>
              <w:ind w:firstLine="709" w:left="0" w:right="0"/>
              <w:jc w:val="both"/>
              <w:rPr/>
            </w:pPr>
            <w:r>
              <w:rPr/>
              <w:t xml:space="preserve"> </w:t>
            </w:r>
            <w:r>
              <w:rPr/>
              <w:t>Оплата по настоящему договору осуществляется по безналичному расчету путем перечисления Заказчиком денежных средств на расчетный счет Подрядчика, указанный в настоящем договоре.</w:t>
            </w:r>
          </w:p>
          <w:p>
            <w:pPr>
              <w:pStyle w:val="ListParagraph"/>
              <w:widowControl w:val="false"/>
              <w:ind w:firstLine="709" w:left="0" w:right="0"/>
              <w:jc w:val="both"/>
              <w:rPr/>
            </w:pPr>
            <w:r>
              <w:rPr/>
              <w:t xml:space="preserve"> </w:t>
            </w:r>
            <w:r>
              <w:rPr/>
              <w:t>В случае изменения расчетного счета Подрядчик обязан в однодневный срок сообщить об этом Заказчику с указанием новых реквизитов расчетного счета. В противном случае, все риски, связанные с перечислением Заказчиком денежных средств на указанный в настоящем договоре счет Подрядчика, несет Подрядчик</w:t>
            </w:r>
          </w:p>
          <w:p>
            <w:pPr>
              <w:pStyle w:val="ListParagraph"/>
              <w:widowControl w:val="false"/>
              <w:ind w:firstLine="709" w:left="0" w:right="0"/>
              <w:jc w:val="both"/>
              <w:rPr/>
            </w:pPr>
            <w:r>
              <w:rPr/>
              <w:t>Днем оплаты считается день списания денежных средств с расчетного счета Заказчика.</w:t>
            </w:r>
          </w:p>
          <w:p>
            <w:pPr>
              <w:pStyle w:val="Style20"/>
              <w:widowControl w:val="false"/>
              <w:spacing w:lineRule="auto" w:line="240" w:before="0" w:after="0"/>
              <w:ind w:firstLine="709" w:left="0" w:righ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</w:rPr>
            </w:r>
          </w:p>
          <w:p>
            <w:pPr>
              <w:pStyle w:val="Normal"/>
              <w:widowControl w:val="false"/>
              <w:spacing w:before="0" w:after="0"/>
              <w:rPr/>
            </w:pPr>
            <w:r>
              <w:rPr/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24" w:name="_Ref166315600"/>
      <w:bookmarkStart w:id="25" w:name="_Ref166315600"/>
      <w:bookmarkEnd w:id="25"/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ЗАКАЗЧИК:                                                                                                ПОДРЯДЧИК: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850" w:gutter="0" w:header="708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Arial">
    <w:charset w:val="cc"/>
    <w:family w:val="swiss"/>
    <w:pitch w:val="variable"/>
  </w:font>
  <w:font w:name="Segoe UI">
    <w:charset w:val="cc"/>
    <w:family w:val="roman"/>
    <w:pitch w:val="variable"/>
  </w:font>
  <w:font w:name="Symbol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false"/>
        <w:i w:val="false"/>
        <w:color w:val="auto"/>
        <w:sz w:val="24"/>
        <w:szCs w:val="24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2.%3.%4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5.%6.%7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decimal"/>
      <w:lvlText w:val="%1"/>
      <w:lvlJc w:val="center"/>
      <w:pPr>
        <w:tabs>
          <w:tab w:val="num" w:pos="2977"/>
        </w:tabs>
        <w:ind w:left="0" w:hanging="0"/>
      </w:pPr>
      <w:rPr>
        <w:rFonts w:cs="Times New Roman"/>
        <w:bCs w:val="false"/>
        <w:iCs w:val="false"/>
        <w:caps w:val="false"/>
        <w:smallCaps w:val="false"/>
        <w:strike w:val="false"/>
        <w:dstrike w:val="false"/>
        <w:vanish w:val="false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false"/>
        <w:caps w:val="false"/>
        <w:smallCaps w:val="false"/>
        <w:strike w:val="false"/>
        <w:dstrike w:val="false"/>
        <w:vanish w:val="false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false"/>
        <w:bCs w:val="false"/>
        <w:i w:val="false"/>
        <w:iCs w:val="false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vanish w:val="false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</w:rPr>
    </w:lvl>
    <w:lvl w:ilvl="4">
      <w:start w:val="1"/>
      <w:numFmt w:val="russianLower"/>
      <w:lvlText w:val="%3.%4.%5"/>
      <w:lvlJc w:val="left"/>
      <w:pPr>
        <w:tabs>
          <w:tab w:val="num" w:pos="1703"/>
        </w:tabs>
        <w:ind w:left="0" w:firstLine="567"/>
      </w:pPr>
      <w:rPr>
        <w:rFonts w:cs="Times New Roman"/>
        <w:b w:val="false"/>
        <w:bCs w:val="false"/>
        <w:i w:val="false"/>
        <w:iCs w:val="false"/>
      </w:rPr>
    </w:lvl>
    <w:lvl w:ilvl="5">
      <w:start w:val="1"/>
      <w:numFmt w:val="lowerLetter"/>
      <w:lvlText w:val="%4.%5.%6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5.%6.%7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3.%4.%5.%6.%7.%8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780" w:hanging="70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23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0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7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4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9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3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076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2.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3.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4.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5.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6.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7.%8.%9"/>
      <w:lvlJc w:val="left"/>
      <w:pPr>
        <w:tabs>
          <w:tab w:val="num" w:pos="3600"/>
        </w:tabs>
        <w:ind w:left="3600" w:hanging="360"/>
      </w:pPr>
      <w:rPr/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550"/>
        </w:tabs>
        <w:ind w:left="55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910"/>
        </w:tabs>
        <w:ind w:left="91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70"/>
        </w:tabs>
        <w:ind w:left="127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30"/>
        </w:tabs>
        <w:ind w:left="163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990"/>
        </w:tabs>
        <w:ind w:left="199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350"/>
        </w:tabs>
        <w:ind w:left="235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070"/>
        </w:tabs>
        <w:ind w:left="307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30"/>
        </w:tabs>
        <w:ind w:left="3430" w:hanging="360"/>
      </w:pPr>
      <w:rPr>
        <w:rFonts w:ascii="OpenSymbol" w:hAnsi="OpenSymbol" w:cs="OpenSymbol" w:hint="default"/>
      </w:rPr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40" w:before="0" w:after="6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240" w:after="0"/>
      <w:outlineLvl w:val="0"/>
    </w:pPr>
    <w:rPr>
      <w:rFonts w:ascii="Calibri Light" w:hAnsi="Calibri Light" w:eastAsia="Calibri" w:cs="Tahoma"/>
      <w:color w:val="2E74B5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tabs>
        <w:tab w:val="clear" w:pos="708"/>
        <w:tab w:val="left" w:pos="312" w:leader="none"/>
      </w:tabs>
      <w:spacing w:before="240" w:after="60"/>
      <w:ind w:hanging="0" w:left="142" w:right="0"/>
      <w:outlineLvl w:val="2"/>
    </w:pPr>
    <w:rPr>
      <w:rFonts w:ascii="Arial" w:hAnsi="Arial" w:cs="Arial"/>
      <w:b/>
      <w:bCs/>
    </w:rPr>
  </w:style>
  <w:style w:type="character" w:styleId="DefaultParagraphFont">
    <w:name w:val="Default Paragraph Font"/>
    <w:qFormat/>
    <w:rPr/>
  </w:style>
  <w:style w:type="character" w:styleId="3">
    <w:name w:val="Заголовок 3 Знак"/>
    <w:basedOn w:val="DefaultParagraphFont"/>
    <w:qFormat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Style12">
    <w:name w:val="Абзац списка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>
    <w:name w:val="Пункт Знак1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3">
    <w:name w:val="Текст выноски Знак"/>
    <w:basedOn w:val="DefaultParagraphFont"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Calibri" w:cs="Tahoma"/>
      <w:color w:val="2E74B5"/>
      <w:sz w:val="32"/>
      <w:szCs w:val="32"/>
      <w:lang w:eastAsia="ru-RU"/>
    </w:rPr>
  </w:style>
  <w:style w:type="character" w:styleId="-user">
    <w:name w:val="Интернет-ссылка (user)"/>
    <w:basedOn w:val="DefaultParagraphFont"/>
    <w:qFormat/>
    <w:rPr>
      <w:color w:val="0563C1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user">
    <w:name w:val="Посещённая гиперссылка (user)"/>
    <w:basedOn w:val="DefaultParagraphFont"/>
    <w:qFormat/>
    <w:rPr>
      <w:color w:val="954F72"/>
      <w:u w:val="single"/>
    </w:rPr>
  </w:style>
  <w:style w:type="character" w:styleId="Style14">
    <w:name w:val="Верх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>
    <w:name w:val="Ниж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W8Num1z3">
    <w:name w:val="WW8Num1z3"/>
    <w:qFormat/>
    <w:rPr>
      <w:rFonts w:ascii="Symbol" w:hAnsi="Symbol" w:cs="Symbol"/>
    </w:rPr>
  </w:style>
  <w:style w:type="character" w:styleId="Style16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styleId="user1">
    <w:name w:val="Маркеры (user)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qFormat/>
    <w:pPr>
      <w:spacing w:before="0" w:after="200"/>
      <w:jc w:val="left"/>
    </w:pPr>
    <w:rPr>
      <w:rFonts w:ascii="Calibri" w:hAnsi="Calibri" w:eastAsia="Calibri" w:cs="Tahoma"/>
      <w:b/>
      <w:bCs/>
      <w:color w:val="5B9BD5"/>
      <w:sz w:val="18"/>
      <w:szCs w:val="18"/>
      <w:lang w:eastAsia="en-US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cs="Arial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Style19">
    <w:name w:val="Таблица текст"/>
    <w:basedOn w:val="Normal"/>
    <w:qFormat/>
    <w:pPr>
      <w:spacing w:before="40" w:after="40"/>
      <w:ind w:hanging="0" w:left="57" w:right="57"/>
      <w:jc w:val="left"/>
    </w:pPr>
    <w:rPr>
      <w:sz w:val="22"/>
      <w:szCs w:val="22"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jc w:val="left"/>
    </w:pPr>
    <w:rPr/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en-US" w:bidi="ar-SA"/>
    </w:rPr>
  </w:style>
  <w:style w:type="paragraph" w:styleId="12">
    <w:name w:val="Заголовок_1"/>
    <w:basedOn w:val="Normal"/>
    <w:qFormat/>
    <w:pPr>
      <w:keepNext w:val="true"/>
      <w:keepLines/>
      <w:suppressAutoHyphens w:val="true"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31">
    <w:name w:val="Пункт_3"/>
    <w:basedOn w:val="Normal"/>
    <w:qFormat/>
    <w:pPr>
      <w:numPr>
        <w:ilvl w:val="0"/>
        <w:numId w:val="2"/>
      </w:numPr>
      <w:spacing w:before="0" w:after="0"/>
    </w:pPr>
    <w:rPr>
      <w:sz w:val="28"/>
      <w:szCs w:val="28"/>
    </w:rPr>
  </w:style>
  <w:style w:type="paragraph" w:styleId="2">
    <w:name w:val="Пункт_2"/>
    <w:basedOn w:val="Normal"/>
    <w:qFormat/>
    <w:pPr>
      <w:numPr>
        <w:ilvl w:val="0"/>
        <w:numId w:val="2"/>
      </w:numPr>
      <w:spacing w:before="0" w:after="0"/>
    </w:pPr>
    <w:rPr>
      <w:sz w:val="28"/>
      <w:szCs w:val="20"/>
    </w:rPr>
  </w:style>
  <w:style w:type="paragraph" w:styleId="5">
    <w:name w:val="Пункт_5"/>
    <w:basedOn w:val="31"/>
    <w:qFormat/>
    <w:pPr/>
    <w:rPr/>
  </w:style>
  <w:style w:type="paragraph" w:styleId="Style20">
    <w:name w:val="Ариал"/>
    <w:qFormat/>
    <w:pPr>
      <w:widowControl/>
      <w:suppressAutoHyphens w:val="true"/>
      <w:overflowPunct w:val="true"/>
      <w:bidi w:val="0"/>
      <w:spacing w:lineRule="auto" w:line="360" w:before="120" w:after="120"/>
      <w:ind w:firstLine="851" w:left="0" w:right="0"/>
      <w:jc w:val="both"/>
    </w:pPr>
    <w:rPr>
      <w:rFonts w:ascii="Arial" w:hAnsi="Arial" w:eastAsia="Arial" w:cs="Arial"/>
      <w:color w:val="000000"/>
      <w:kern w:val="0"/>
      <w:sz w:val="24"/>
      <w:szCs w:val="24"/>
      <w:u w:val="none"/>
      <w:lang w:val="ru-RU" w:eastAsia="ru-RU" w:bidi="ar-SA"/>
    </w:rPr>
  </w:style>
  <w:style w:type="paragraph" w:styleId="Style21">
    <w:name w:val="Подподпункт"/>
    <w:basedOn w:val="Normal"/>
    <w:qFormat/>
    <w:pPr>
      <w:tabs>
        <w:tab w:val="clear" w:pos="708"/>
        <w:tab w:val="left" w:pos="1008" w:leader="none"/>
      </w:tabs>
      <w:spacing w:lineRule="auto" w:line="360" w:before="0" w:after="0"/>
      <w:ind w:hanging="1008" w:left="1008" w:right="0"/>
    </w:pPr>
    <w:rPr>
      <w:sz w:val="28"/>
      <w:szCs w:val="28"/>
    </w:rPr>
  </w:style>
  <w:style w:type="paragraph" w:styleId="Style22">
    <w:name w:val="Пункт"/>
    <w:basedOn w:val="Normal"/>
    <w:qFormat/>
    <w:pPr>
      <w:tabs>
        <w:tab w:val="clear" w:pos="708"/>
        <w:tab w:val="left" w:pos="720" w:leader="none"/>
      </w:tabs>
      <w:spacing w:lineRule="auto" w:line="360" w:before="0" w:after="0"/>
      <w:ind w:hanging="720" w:left="720" w:right="0"/>
    </w:pPr>
    <w:rPr>
      <w:sz w:val="28"/>
      <w:szCs w:val="28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firstLine="720" w:left="0" w:right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ConsPlusNormal">
    <w:name w:val="ConsPlusNormal"/>
    <w:qFormat/>
    <w:pPr>
      <w:widowControl w:val="false"/>
      <w:suppressAutoHyphens w:val="true"/>
      <w:overflowPunct w:val="true"/>
      <w:bidi w:val="0"/>
      <w:spacing w:lineRule="auto" w:line="240" w:before="0" w:after="0"/>
      <w:ind w:firstLine="720" w:left="0" w:right="0"/>
      <w:jc w:val="left"/>
    </w:pPr>
    <w:rPr>
      <w:rFonts w:ascii="Arial" w:hAnsi="Arial" w:eastAsia="Arial" w:cs="Arial"/>
      <w:color w:val="000000"/>
      <w:kern w:val="0"/>
      <w:sz w:val="20"/>
      <w:szCs w:val="20"/>
      <w:u w:val="none"/>
      <w:lang w:val="ru-RU" w:eastAsia="ru-RU" w:bidi="ar-SA"/>
    </w:rPr>
  </w:style>
  <w:style w:type="paragraph" w:styleId="Style23">
    <w:name w:val="Верхний и нижний колонтитулы"/>
    <w:basedOn w:val="Normal"/>
    <w:qFormat/>
    <w:pPr/>
    <w:rPr/>
  </w:style>
  <w:style w:type="paragraph" w:styleId="user4">
    <w:name w:val="Колонтитулы (user)"/>
    <w:basedOn w:val="Normal"/>
    <w:qFormat/>
    <w:pPr/>
    <w:rPr/>
  </w:style>
  <w:style w:type="paragraph" w:styleId="Style24">
    <w:name w:val="Колонтитулы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80" w:leader="none"/>
        <w:tab w:val="right" w:pos="9360" w:leader="none"/>
      </w:tabs>
      <w:spacing w:before="0" w:after="0"/>
    </w:pPr>
    <w:rPr/>
  </w:style>
  <w:style w:type="paragraph" w:styleId="Footer">
    <w:name w:val="footer"/>
    <w:basedOn w:val="Normal"/>
    <w:pPr>
      <w:tabs>
        <w:tab w:val="clear" w:pos="708"/>
        <w:tab w:val="center" w:pos="4680" w:leader="none"/>
        <w:tab w:val="right" w:pos="9360" w:leader="none"/>
      </w:tabs>
      <w:spacing w:before="0" w:after="0"/>
    </w:pPr>
    <w:rPr/>
  </w:style>
  <w:style w:type="paragraph" w:styleId="BodyTextIndent">
    <w:name w:val="Body Text Indent"/>
    <w:basedOn w:val="Normal"/>
    <w:pPr>
      <w:suppressAutoHyphens w:val="true"/>
      <w:spacing w:before="0" w:after="0"/>
      <w:ind w:hanging="720" w:left="720" w:right="0"/>
      <w:jc w:val="center"/>
    </w:pPr>
    <w:rPr>
      <w:sz w:val="28"/>
      <w:szCs w:val="20"/>
      <w:lang w:eastAsia="ar-SA"/>
    </w:rPr>
  </w:style>
  <w:style w:type="paragraph" w:styleId="user5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6">
    <w:name w:val="Заголовок таблицы (user)"/>
    <w:basedOn w:val="user5"/>
    <w:qFormat/>
    <w:pPr>
      <w:suppressLineNumbers/>
      <w:jc w:val="center"/>
    </w:pPr>
    <w:rPr>
      <w:b/>
      <w:bCs/>
    </w:rPr>
  </w:style>
  <w:style w:type="numbering" w:styleId="user7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2115</TotalTime>
  <Application>LibreOffice/25.8.4.2$Windows_X86_64 LibreOffice_project/290daaa01b999472f0c7a3890eb6a550fd74c6df</Application>
  <AppVersion>15.0000</AppVersion>
  <Pages>22</Pages>
  <Words>4761</Words>
  <Characters>32699</Characters>
  <CharactersWithSpaces>37369</CharactersWithSpaces>
  <Paragraphs>274</Paragraphs>
  <Company>МУПП ВМЭС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2019-02-07T04:43:00Z</dcterms:created>
  <dc:creator>Иванченко Мария Владимировна</dc:creator>
  <dc:description/>
  <dc:language>ru-RU</dc:language>
  <cp:lastModifiedBy/>
  <cp:lastPrinted>2019-04-11T06:06:00Z</cp:lastPrinted>
  <dcterms:modified xsi:type="dcterms:W3CDTF">2026-02-05T12:29:07Z</dcterms:modified>
  <cp:revision>268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